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41D680A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133118D"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5F0AC7A6"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E5CB2C5"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339E13DA" w14:textId="3B9A0272" w:rsidR="000D72F3" w:rsidRPr="0059792B" w:rsidRDefault="000D72F3" w:rsidP="000D72F3">
      <w:pPr>
        <w:pStyle w:val="Briefingtext"/>
        <w:spacing w:after="0" w:line="276" w:lineRule="auto"/>
        <w:rPr>
          <w:rFonts w:ascii="EC Square Sans Pro" w:hAnsi="EC Square Sans Pro"/>
          <w:b/>
          <w:sz w:val="28"/>
          <w:szCs w:val="28"/>
          <w14:ligatures w14:val="none"/>
        </w:rPr>
      </w:pPr>
      <w:r>
        <w:rPr>
          <w:rFonts w:ascii="EC Square Sans Pro" w:hAnsi="EC Square Sans Pro"/>
          <w:b/>
          <w:sz w:val="28"/>
          <w:szCs w:val="28"/>
        </w:rPr>
        <w:t xml:space="preserve">OSKUSTE PAKT </w:t>
      </w:r>
    </w:p>
    <w:p w14:paraId="526C6CDC" w14:textId="77777777" w:rsidR="000D72F3" w:rsidRPr="0059792B" w:rsidRDefault="000D72F3" w:rsidP="000D72F3">
      <w:pPr>
        <w:pStyle w:val="Briefingtext"/>
        <w:spacing w:after="0" w:line="276" w:lineRule="auto"/>
        <w:rPr>
          <w:rFonts w:ascii="EC Square Sans Pro" w:hAnsi="EC Square Sans Pro"/>
          <w14:ligatures w14:val="none"/>
        </w:rPr>
      </w:pPr>
    </w:p>
    <w:p w14:paraId="24990585" w14:textId="77777777" w:rsidR="000D72F3" w:rsidRPr="0059792B" w:rsidRDefault="000D72F3" w:rsidP="000D72F3">
      <w:pPr>
        <w:pStyle w:val="Briefingtext"/>
        <w:spacing w:after="0" w:line="276" w:lineRule="auto"/>
        <w:rPr>
          <w:rFonts w:ascii="EC Square Sans Pro" w:hAnsi="EC Square Sans Pro"/>
          <w14:ligatures w14:val="none"/>
        </w:rPr>
      </w:pPr>
      <w:r>
        <w:rPr>
          <w:rFonts w:ascii="EC Square Sans Pro" w:hAnsi="EC Square Sans Pro"/>
        </w:rPr>
        <w:t xml:space="preserve">Oskustesse tehtavate investeeringute mõju aitab suurendada </w:t>
      </w:r>
      <w:proofErr w:type="spellStart"/>
      <w:r>
        <w:rPr>
          <w:rFonts w:ascii="EC Square Sans Pro" w:hAnsi="EC Square Sans Pro"/>
        </w:rPr>
        <w:t>ühismeetmete</w:t>
      </w:r>
      <w:proofErr w:type="spellEnd"/>
      <w:r>
        <w:rPr>
          <w:rFonts w:ascii="EC Square Sans Pro" w:hAnsi="EC Square Sans Pro"/>
        </w:rPr>
        <w:t xml:space="preserve"> hoogustamine. Oskustega seotud poliitikasuunad ja meetmed on jagatud paljude osalejate vahel. Ettevõtted, töötajad, haridus- ja koolitusasutused, riiklikud, piirkondlikud ja kohalikud ametiasutused, kaubanduskojad ja tööturuasutused on need, kes aitavad muuta täiendus- ja ümberõppe tegelikkuseks. Kooskõlastatud jõupingutused aitavad tuua selgust üksikisikutele ja ettevõtetele kogu väärtusahelas, vähendada kulusid ja keskenduda prioriteetidele.</w:t>
      </w:r>
    </w:p>
    <w:p w14:paraId="1D7591BD" w14:textId="77777777" w:rsidR="000D72F3" w:rsidRPr="0059792B" w:rsidRDefault="000D72F3" w:rsidP="000D72F3">
      <w:pPr>
        <w:pStyle w:val="Briefingtext"/>
        <w:spacing w:after="0" w:line="276" w:lineRule="auto"/>
        <w:rPr>
          <w:rFonts w:ascii="EC Square Sans Pro" w:hAnsi="EC Square Sans Pro"/>
          <w14:ligatures w14:val="none"/>
        </w:rPr>
      </w:pPr>
    </w:p>
    <w:p w14:paraId="4264D202"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Seepärast käivitab komisjon oskuste pakti – oskuste arendamise ühise kohustuse ja käsitlusviisi. Pakt on kindlalt seotud Euroopa sotsiaalõiguste samba põhimõtetega ning toetab rohelise kokkuleppe ja </w:t>
      </w:r>
      <w:proofErr w:type="spellStart"/>
      <w:r>
        <w:rPr>
          <w:rFonts w:ascii="EC Square Sans Pro" w:hAnsi="EC Square Sans Pro"/>
        </w:rPr>
        <w:t>digipöörde</w:t>
      </w:r>
      <w:proofErr w:type="spellEnd"/>
      <w:r>
        <w:rPr>
          <w:rFonts w:ascii="EC Square Sans Pro" w:hAnsi="EC Square Sans Pro"/>
        </w:rPr>
        <w:t xml:space="preserve"> eesmärke, mis on sätestatud komisjoni teatises „Tugev sotsiaalne Euroopa õiglaste üleminekute jaoks“. </w:t>
      </w:r>
    </w:p>
    <w:p w14:paraId="30D9621B"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Pakti eesmärk on mobiliseerida ja ergutada era- ja avaliku sektori sidusrühmi võtma konkreetseid meetmeid tööealiste inimeste täiendus- ja ümberõppeks ning vajaduse korral ühendama jõupingutused partnerlussuhete raames. </w:t>
      </w:r>
    </w:p>
    <w:p w14:paraId="1E95754F" w14:textId="77777777" w:rsidR="000D72F3" w:rsidRPr="0059792B" w:rsidRDefault="000D72F3" w:rsidP="000D72F3">
      <w:pPr>
        <w:pStyle w:val="Briefingtext"/>
        <w:tabs>
          <w:tab w:val="left" w:pos="-31680"/>
        </w:tabs>
        <w:spacing w:before="120" w:after="0" w:line="276" w:lineRule="auto"/>
        <w:rPr>
          <w:rFonts w:ascii="EC Square Sans Pro" w:hAnsi="EC Square Sans Pro" w:cs="Calibri"/>
          <w:b/>
        </w:rPr>
      </w:pPr>
      <w:r>
        <w:rPr>
          <w:rFonts w:ascii="EC Square Sans Pro" w:hAnsi="EC Square Sans Pro"/>
          <w:b/>
        </w:rPr>
        <w:t>Paktiga ühinemine</w:t>
      </w:r>
    </w:p>
    <w:p w14:paraId="66C226D2" w14:textId="77777777" w:rsidR="000D72F3" w:rsidRPr="0059792B" w:rsidRDefault="000D72F3" w:rsidP="000D72F3">
      <w:pPr>
        <w:pStyle w:val="Briefingtext"/>
        <w:numPr>
          <w:ilvl w:val="3"/>
          <w:numId w:val="8"/>
        </w:numPr>
        <w:tabs>
          <w:tab w:val="left" w:pos="-31680"/>
        </w:tabs>
        <w:spacing w:before="120" w:after="0" w:line="276" w:lineRule="auto"/>
        <w:ind w:left="360"/>
        <w:rPr>
          <w:rFonts w:ascii="EC Square Sans Pro" w:hAnsi="EC Square Sans Pro"/>
          <w14:ligatures w14:val="none"/>
        </w:rPr>
      </w:pPr>
      <w:r>
        <w:rPr>
          <w:rFonts w:ascii="EC Square Sans Pro" w:hAnsi="EC Square Sans Pro"/>
        </w:rPr>
        <w:t xml:space="preserve">Kõik paktiga ühinevad sidusrühmad kirjutavad alla hartale ja selle peamistele põhimõtetele, mida nad nõustuvad järgima ja toetama. </w:t>
      </w:r>
    </w:p>
    <w:p w14:paraId="41583F4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Paktile allakirjutanuid kutsutakse üles võtma konkreetseid täiendus- ja ümberõppega seotud kohustusi. Kohustused peavad olema kooskõlas peamiste põhimõtetega ja need võivad põhineda mitmel nn soodustaval teguril, mis väljendavad eri põhimõtete rakendamise konkreetseid viise.</w:t>
      </w:r>
    </w:p>
    <w:p w14:paraId="71812DD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Kohustuste täitmist jälgitakse vähemalt ühe võtmetähtsusega tulemuslikkuse põhinäitaja, nt täiendus- või ümberõppes osalevate inimeste arvu alusel.</w:t>
      </w:r>
    </w:p>
    <w:p w14:paraId="03C9364E" w14:textId="77777777" w:rsidR="000D72F3" w:rsidRPr="0059792B" w:rsidRDefault="000D72F3" w:rsidP="000D72F3">
      <w:pPr>
        <w:widowControl w:val="0"/>
        <w:rPr>
          <w:rFonts w:ascii="EC Square Sans Pro" w:hAnsi="EC Square Sans Pro" w:cs="Calibri"/>
          <w:b/>
          <w:sz w:val="22"/>
          <w:szCs w:val="22"/>
        </w:rPr>
      </w:pPr>
      <w:r>
        <w:rPr>
          <w:rFonts w:ascii="Calibri" w:hAnsi="Calibri"/>
          <w:b/>
          <w:sz w:val="22"/>
          <w:szCs w:val="22"/>
        </w:rPr>
        <w:t> </w:t>
      </w:r>
      <w:r>
        <w:rPr>
          <w:rFonts w:ascii="EC Square Sans Pro" w:hAnsi="EC Square Sans Pro"/>
          <w:b/>
          <w:sz w:val="22"/>
          <w:szCs w:val="22"/>
        </w:rPr>
        <w:t>Harta peamised põhimõtted</w:t>
      </w:r>
    </w:p>
    <w:p w14:paraId="5934F8AB" w14:textId="77777777" w:rsidR="000D72F3" w:rsidRPr="0059792B" w:rsidRDefault="000D72F3" w:rsidP="000D72F3">
      <w:pPr>
        <w:pStyle w:val="Text1"/>
        <w:numPr>
          <w:ilvl w:val="0"/>
          <w:numId w:val="9"/>
        </w:numPr>
        <w:spacing w:before="120" w:after="0" w:line="276" w:lineRule="auto"/>
        <w:rPr>
          <w:rFonts w:ascii="EC Square Sans Pro" w:hAnsi="EC Square Sans Pro"/>
          <w:sz w:val="22"/>
          <w:szCs w:val="22"/>
        </w:rPr>
      </w:pPr>
      <w:r>
        <w:rPr>
          <w:rFonts w:ascii="EC Square Sans Pro" w:hAnsi="EC Square Sans Pro"/>
          <w:sz w:val="22"/>
          <w:szCs w:val="22"/>
        </w:rPr>
        <w:t>Elukestva õppe kultuuri edendamine kõigi jaoks</w:t>
      </w:r>
    </w:p>
    <w:p w14:paraId="6034AA03"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 xml:space="preserve">Tugevate </w:t>
      </w:r>
      <w:proofErr w:type="spellStart"/>
      <w:r>
        <w:rPr>
          <w:rFonts w:ascii="EC Square Sans Pro" w:hAnsi="EC Square Sans Pro"/>
          <w:sz w:val="22"/>
          <w:szCs w:val="22"/>
        </w:rPr>
        <w:t>oskustealaste</w:t>
      </w:r>
      <w:proofErr w:type="spellEnd"/>
      <w:r>
        <w:rPr>
          <w:rFonts w:ascii="EC Square Sans Pro" w:hAnsi="EC Square Sans Pro"/>
          <w:sz w:val="22"/>
          <w:szCs w:val="22"/>
        </w:rPr>
        <w:t xml:space="preserve"> partnerluste loomine</w:t>
      </w:r>
    </w:p>
    <w:p w14:paraId="5F6B1286"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Oskuste pakkumise/nõudluse jälgimine ja vajaminevate oskuste prognoosimine</w:t>
      </w:r>
    </w:p>
    <w:p w14:paraId="29B28BED"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Töö diskrimineerimise vastu ning soolise võrdõiguslikkuse ja võrdsete võimaluste nimel</w:t>
      </w:r>
    </w:p>
    <w:p w14:paraId="41AED67E" w14:textId="77777777" w:rsidR="000D72F3" w:rsidRPr="0059792B" w:rsidRDefault="000D72F3" w:rsidP="000D72F3">
      <w:pPr>
        <w:widowControl w:val="0"/>
        <w:rPr>
          <w:rFonts w:ascii="EC Square Sans Pro" w:hAnsi="EC Square Sans Pro" w:cs="Calibri"/>
          <w:b/>
          <w:sz w:val="22"/>
          <w:szCs w:val="22"/>
        </w:rPr>
      </w:pPr>
      <w:r>
        <w:rPr>
          <w:rFonts w:ascii="EC Square Sans Pro" w:hAnsi="EC Square Sans Pro"/>
          <w:b/>
          <w:sz w:val="22"/>
          <w:szCs w:val="22"/>
        </w:rPr>
        <w:t>Pakti võidakse rakendada</w:t>
      </w:r>
    </w:p>
    <w:p w14:paraId="6B677FFB" w14:textId="77777777" w:rsidR="000D72F3" w:rsidRPr="0059792B" w:rsidRDefault="000D72F3" w:rsidP="000D72F3">
      <w:pPr>
        <w:pStyle w:val="Text1"/>
        <w:numPr>
          <w:ilvl w:val="0"/>
          <w:numId w:val="10"/>
        </w:numPr>
        <w:spacing w:before="120" w:after="0" w:line="276" w:lineRule="auto"/>
        <w:rPr>
          <w:rFonts w:ascii="EC Square Sans Pro" w:hAnsi="EC Square Sans Pro"/>
          <w:sz w:val="22"/>
          <w:szCs w:val="22"/>
        </w:rPr>
      </w:pPr>
      <w:r>
        <w:rPr>
          <w:rFonts w:ascii="EC Square Sans Pro" w:hAnsi="EC Square Sans Pro"/>
          <w:sz w:val="22"/>
          <w:szCs w:val="22"/>
        </w:rPr>
        <w:t>eraldiseisvate ettevõtete või muude era- või avaliku sektori organisatsioonide kaudu</w:t>
      </w:r>
    </w:p>
    <w:p w14:paraId="7CA5A2B6"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piirkondlike või kohalike partnerluste kaudu</w:t>
      </w:r>
    </w:p>
    <w:p w14:paraId="79601AEC"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tööstus- või sektoriüleste partnerluste kaudu</w:t>
      </w:r>
    </w:p>
    <w:p w14:paraId="76F5C4D8" w14:textId="77777777" w:rsidR="000D72F3" w:rsidRPr="0059792B" w:rsidRDefault="000D72F3" w:rsidP="000D72F3">
      <w:pPr>
        <w:pStyle w:val="Text1"/>
        <w:spacing w:before="120" w:after="0" w:line="276" w:lineRule="auto"/>
        <w:ind w:left="0"/>
        <w:rPr>
          <w:rFonts w:ascii="EC Square Sans Pro" w:hAnsi="EC Square Sans Pro"/>
          <w:sz w:val="22"/>
          <w:szCs w:val="22"/>
        </w:rPr>
      </w:pPr>
      <w:r>
        <w:rPr>
          <w:rFonts w:ascii="EC Square Sans Pro" w:hAnsi="EC Square Sans Pro"/>
          <w:b/>
          <w:sz w:val="22"/>
          <w:szCs w:val="22"/>
        </w:rPr>
        <w:t>Pakti raames pakutav toetus</w:t>
      </w:r>
    </w:p>
    <w:p w14:paraId="4D8D8F13" w14:textId="77777777" w:rsidR="000D72F3" w:rsidRPr="0059792B" w:rsidRDefault="000D72F3" w:rsidP="000D72F3">
      <w:pPr>
        <w:pStyle w:val="Text1"/>
        <w:spacing w:before="120" w:line="276" w:lineRule="auto"/>
        <w:ind w:left="0"/>
        <w:rPr>
          <w:rFonts w:ascii="EC Square Sans Pro" w:hAnsi="EC Square Sans Pro" w:cs="Calibri"/>
          <w:bCs/>
          <w:sz w:val="22"/>
          <w:szCs w:val="22"/>
        </w:rPr>
      </w:pPr>
      <w:r>
        <w:rPr>
          <w:rFonts w:ascii="EC Square Sans Pro" w:hAnsi="EC Square Sans Pro"/>
          <w:bCs/>
          <w:sz w:val="22"/>
          <w:szCs w:val="22"/>
        </w:rPr>
        <w:lastRenderedPageBreak/>
        <w:t>Alates 2021. aastast toetab komisjon paktile allakirjutanuid järgmiste sihtotstarbeliste teenuste kaudu.</w:t>
      </w:r>
    </w:p>
    <w:p w14:paraId="4AB6A870"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Võrgustike loomise keskus</w:t>
      </w:r>
      <w:r>
        <w:rPr>
          <w:rFonts w:ascii="EC Square Sans Pro" w:hAnsi="EC Square Sans Pro"/>
          <w:bCs/>
          <w:sz w:val="22"/>
          <w:szCs w:val="22"/>
        </w:rPr>
        <w:t>, mis hõlmab järgmist: tugi partnerite leidmisel ja partnerluse loomise esimestel kohtumistel; sidemed olemasolevate ELi vahenditega, nt Europass, ELi oskuste ülevaade, EURES ja avalike tööturuasutuste võrgustik; pakti liikmete tegevuse edendamine.</w:t>
      </w:r>
    </w:p>
    <w:p w14:paraId="5C68B70A"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Teadmuskeskus</w:t>
      </w:r>
      <w:r>
        <w:rPr>
          <w:rFonts w:ascii="EC Square Sans Pro" w:hAnsi="EC Square Sans Pro"/>
          <w:bCs/>
          <w:sz w:val="22"/>
          <w:szCs w:val="22"/>
        </w:rPr>
        <w:t>, mis hõlmab järgmist: veebiseminarid, seminarid, vastastikuse õppimisega seotud tegevused; ajakohastatud teave ELi poliitika ja vahendite kohta; teave projektide, vahendite ja parimate tavade kohta</w:t>
      </w:r>
    </w:p>
    <w:p w14:paraId="3842D91E"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Nõustamis- ja</w:t>
      </w:r>
      <w:r>
        <w:rPr>
          <w:rFonts w:ascii="EC Square Sans Pro" w:hAnsi="EC Square Sans Pro"/>
          <w:b/>
          <w:bCs/>
          <w:sz w:val="22"/>
          <w:szCs w:val="22"/>
        </w:rPr>
        <w:t xml:space="preserve"> ressursikeskus</w:t>
      </w:r>
      <w:r>
        <w:rPr>
          <w:rFonts w:ascii="EC Square Sans Pro" w:hAnsi="EC Square Sans Pro"/>
          <w:bCs/>
          <w:sz w:val="22"/>
          <w:szCs w:val="22"/>
        </w:rPr>
        <w:t>, mis hõlmab järgmist: juurdepääs asjaomast ELi rahastust käsitlevale teabele; juhised finantsvõimaluste kindlakstegemiseks; pakti liikmete ja riiklike/piirkondlike ametiasutuste vahelise teabevahetuse hõlbustamine.</w:t>
      </w:r>
    </w:p>
    <w:p w14:paraId="77902F9C" w14:textId="77777777" w:rsidR="000D72F3" w:rsidRPr="00007FB5" w:rsidRDefault="000D72F3" w:rsidP="000D72F3">
      <w:pPr>
        <w:pStyle w:val="Text1"/>
        <w:spacing w:before="120" w:after="0" w:line="276" w:lineRule="auto"/>
        <w:ind w:left="0" w:right="113"/>
        <w:rPr>
          <w:rFonts w:ascii="EC Square Sans Pro" w:hAnsi="EC Square Sans Pro" w:cstheme="minorHAnsi"/>
          <w:sz w:val="22"/>
          <w:szCs w:val="22"/>
        </w:rPr>
      </w:pPr>
      <w:r>
        <w:rPr>
          <w:rFonts w:ascii="EC Square Sans Pro" w:hAnsi="EC Square Sans Pro"/>
          <w:bCs/>
          <w:sz w:val="22"/>
          <w:szCs w:val="22"/>
        </w:rPr>
        <w:t xml:space="preserve">Pakti saab toetada ELi üldise </w:t>
      </w:r>
      <w:proofErr w:type="spellStart"/>
      <w:r>
        <w:rPr>
          <w:rFonts w:ascii="EC Square Sans Pro" w:hAnsi="EC Square Sans Pro"/>
          <w:bCs/>
          <w:sz w:val="22"/>
          <w:szCs w:val="22"/>
        </w:rPr>
        <w:t>rahastusega</w:t>
      </w:r>
      <w:proofErr w:type="spellEnd"/>
      <w:r>
        <w:rPr>
          <w:rFonts w:ascii="EC Square Sans Pro" w:hAnsi="EC Square Sans Pro"/>
          <w:bCs/>
          <w:sz w:val="22"/>
          <w:szCs w:val="22"/>
        </w:rPr>
        <w:t>, konkreetsemalt taaste ja vastupidavuse rahastamisvahendiga ning mitmeaastase finantsraamistiku (2021–2027)</w:t>
      </w:r>
      <w:r w:rsidRPr="0059792B">
        <w:rPr>
          <w:rStyle w:val="FootnoteReference"/>
          <w:rFonts w:ascii="EC Square Sans Pro" w:hAnsi="EC Square Sans Pro" w:cs="Calibri"/>
          <w:bCs/>
          <w:sz w:val="22"/>
          <w:szCs w:val="22"/>
        </w:rPr>
        <w:footnoteReference w:id="2"/>
      </w:r>
      <w:r>
        <w:rPr>
          <w:rFonts w:ascii="EC Square Sans Pro" w:hAnsi="EC Square Sans Pro"/>
          <w:bCs/>
          <w:sz w:val="22"/>
          <w:szCs w:val="22"/>
        </w:rPr>
        <w:t xml:space="preserve"> asjakohaste rahastamisvahenditega, ning seda tuleks täiel määral ära kasutada.</w:t>
      </w:r>
    </w:p>
    <w:p w14:paraId="3491745F" w14:textId="77777777" w:rsidR="000D72F3" w:rsidRDefault="000D72F3">
      <w:pPr>
        <w:spacing w:before="0" w:after="0"/>
        <w:jc w:val="left"/>
        <w:rPr>
          <w:rFonts w:ascii="EC Square Sans Pro" w:hAnsi="EC Square Sans Pro" w:cstheme="minorHAnsi"/>
          <w:b/>
          <w:sz w:val="28"/>
          <w:szCs w:val="28"/>
        </w:rPr>
      </w:pPr>
      <w:r>
        <w:br w:type="page"/>
      </w:r>
    </w:p>
    <w:p w14:paraId="2A1561AC" w14:textId="4BA50737" w:rsidR="000D72F3" w:rsidRDefault="000D72F3" w:rsidP="000D72F3">
      <w:pPr>
        <w:pStyle w:val="Text1"/>
        <w:spacing w:before="120" w:after="0" w:line="276" w:lineRule="auto"/>
        <w:ind w:left="0"/>
        <w:jc w:val="center"/>
        <w:rPr>
          <w:rFonts w:ascii="EC Square Sans Pro" w:hAnsi="EC Square Sans Pro" w:cstheme="minorHAnsi"/>
          <w:b/>
          <w:sz w:val="28"/>
          <w:szCs w:val="28"/>
        </w:rPr>
      </w:pPr>
      <w:r>
        <w:rPr>
          <w:rFonts w:ascii="EC Square Sans Pro" w:hAnsi="EC Square Sans Pro"/>
          <w:b/>
          <w:sz w:val="28"/>
          <w:szCs w:val="28"/>
        </w:rPr>
        <w:lastRenderedPageBreak/>
        <w:t>HARTA</w:t>
      </w:r>
    </w:p>
    <w:p w14:paraId="1C6F0AF6" w14:textId="1C920D4F" w:rsidR="002E3766" w:rsidRPr="0059792B" w:rsidRDefault="00C82E8D"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t>PREAMBUL</w:t>
      </w:r>
    </w:p>
    <w:p w14:paraId="1E55824E" w14:textId="2680106D" w:rsidR="001A1133" w:rsidRDefault="001A1133"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Võttes arvesse </w:t>
      </w:r>
      <w:r>
        <w:rPr>
          <w:rFonts w:ascii="EC Square Sans Pro" w:hAnsi="EC Square Sans Pro"/>
          <w:b/>
          <w:sz w:val="22"/>
          <w:szCs w:val="22"/>
        </w:rPr>
        <w:t>Euroopa sotsiaalõiguste sammast</w:t>
      </w:r>
      <w:r>
        <w:rPr>
          <w:rFonts w:ascii="EC Square Sans Pro" w:hAnsi="EC Square Sans Pro"/>
          <w:sz w:val="22"/>
          <w:szCs w:val="22"/>
        </w:rPr>
        <w:t>, mis on ELi suunanäitaja sotsiaalseks</w:t>
      </w:r>
      <w:bookmarkStart w:id="0" w:name="_GoBack"/>
      <w:bookmarkEnd w:id="0"/>
      <w:r>
        <w:rPr>
          <w:rFonts w:ascii="EC Square Sans Pro" w:hAnsi="EC Square Sans Pro"/>
          <w:sz w:val="22"/>
          <w:szCs w:val="22"/>
        </w:rPr>
        <w:t xml:space="preserve"> ja kaasavaks taastumiseks ning õiglaseks üleminekuks kliimaneutraalsusele ja digitaalsele Euroopale;</w:t>
      </w:r>
    </w:p>
    <w:p w14:paraId="5E808EE4" w14:textId="402D9D56" w:rsidR="00F17B01" w:rsidRPr="0059792B" w:rsidRDefault="0034151C"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tunnistades, et praeguse ja tulevase </w:t>
      </w:r>
      <w:proofErr w:type="spellStart"/>
      <w:r>
        <w:rPr>
          <w:rFonts w:ascii="EC Square Sans Pro" w:hAnsi="EC Square Sans Pro"/>
          <w:b/>
          <w:sz w:val="22"/>
          <w:szCs w:val="22"/>
        </w:rPr>
        <w:t>digimajanduse</w:t>
      </w:r>
      <w:proofErr w:type="spellEnd"/>
      <w:r>
        <w:rPr>
          <w:rFonts w:ascii="EC Square Sans Pro" w:hAnsi="EC Square Sans Pro"/>
          <w:sz w:val="22"/>
          <w:szCs w:val="22"/>
        </w:rPr>
        <w:t xml:space="preserve"> keskmes peavad olema inimesed;</w:t>
      </w:r>
    </w:p>
    <w:p w14:paraId="133317F9" w14:textId="2DF0930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tuletades meelde, et </w:t>
      </w:r>
      <w:r>
        <w:rPr>
          <w:rFonts w:ascii="EC Square Sans Pro" w:hAnsi="EC Square Sans Pro"/>
          <w:b/>
          <w:sz w:val="22"/>
          <w:szCs w:val="22"/>
        </w:rPr>
        <w:t>Euroopa rohelise kokkuleppega</w:t>
      </w:r>
      <w:r>
        <w:rPr>
          <w:rFonts w:ascii="EC Square Sans Pro" w:hAnsi="EC Square Sans Pro"/>
          <w:sz w:val="22"/>
          <w:szCs w:val="22"/>
        </w:rPr>
        <w:t xml:space="preserve"> väljendas Euroopa oma soovi saada 2050. aastaks esimeseks kliimaneutraalseks maailmajaoks;</w:t>
      </w:r>
    </w:p>
    <w:p w14:paraId="4EF65972" w14:textId="7A98483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toetades kindlalt ühtsele turule toetuvaid </w:t>
      </w:r>
      <w:r>
        <w:rPr>
          <w:rFonts w:ascii="EC Square Sans Pro" w:hAnsi="EC Square Sans Pro"/>
          <w:b/>
          <w:sz w:val="22"/>
          <w:szCs w:val="22"/>
        </w:rPr>
        <w:t xml:space="preserve">tööstus- ja </w:t>
      </w:r>
      <w:proofErr w:type="spellStart"/>
      <w:r>
        <w:rPr>
          <w:rFonts w:ascii="EC Square Sans Pro" w:hAnsi="EC Square Sans Pro"/>
          <w:b/>
          <w:sz w:val="22"/>
          <w:szCs w:val="22"/>
        </w:rPr>
        <w:t>VKEde</w:t>
      </w:r>
      <w:proofErr w:type="spellEnd"/>
      <w:r>
        <w:rPr>
          <w:rFonts w:ascii="EC Square Sans Pro" w:hAnsi="EC Square Sans Pro"/>
          <w:b/>
          <w:sz w:val="22"/>
          <w:szCs w:val="22"/>
        </w:rPr>
        <w:t xml:space="preserve"> strateegiaid</w:t>
      </w:r>
      <w:r>
        <w:rPr>
          <w:rFonts w:ascii="EC Square Sans Pro" w:hAnsi="EC Square Sans Pro"/>
          <w:sz w:val="22"/>
          <w:szCs w:val="22"/>
        </w:rPr>
        <w:t>, võimaldades ettevõtetel teha uuendusi ja arendada uusi tehnoloogiaid, edendades ringlust ja luues uusi turge;</w:t>
      </w:r>
    </w:p>
    <w:p w14:paraId="04E5A792" w14:textId="77777777" w:rsidR="00DB3BD1" w:rsidRPr="0059792B" w:rsidRDefault="00DB3BD1" w:rsidP="00DB3BD1">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uskudes kindlalt, et oskused on nii inimeste kui ka ettevõtete jaoks üliolulised, et avada võimalusi rohkemateks ja paremateks töökohtadeks ning majanduskasvuks ja konkurentsivõimeks, nagu on sätestatud jätkusuutlikku konkurentsivõimet, sotsiaalset õiglust ja vastupanuvõimet toetavas </w:t>
      </w:r>
      <w:r>
        <w:rPr>
          <w:rFonts w:ascii="EC Square Sans Pro" w:hAnsi="EC Square Sans Pro"/>
          <w:b/>
          <w:sz w:val="22"/>
          <w:szCs w:val="22"/>
        </w:rPr>
        <w:t>Euroopa oskuste tegevuskavas</w:t>
      </w:r>
      <w:r>
        <w:rPr>
          <w:rFonts w:ascii="EC Square Sans Pro" w:hAnsi="EC Square Sans Pro"/>
          <w:sz w:val="22"/>
          <w:szCs w:val="22"/>
        </w:rPr>
        <w:t xml:space="preserve">; </w:t>
      </w:r>
    </w:p>
    <w:p w14:paraId="3EA00EB9" w14:textId="08100852" w:rsidR="00940BD0" w:rsidRDefault="00940BD0"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mõistes ettevõtete ja sotsiaalpartnerite olulist rolli vajaminevate oskuste kindlakstegemisel ja asjakohaste oskuste arendamise toetamisel;</w:t>
      </w:r>
    </w:p>
    <w:p w14:paraId="55E6A4DF" w14:textId="68E35914" w:rsidR="00780965" w:rsidRPr="0059792B" w:rsidRDefault="007809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rõhutades, kui olulist rolli täidab sotsiaaldialoog Euroopas edukale täiendus- ja ümberõppele kaasa aitamisel, ning austades täielikult riiklikke süsteeme, sotsiaalpartnerite rolli ja kollektiivlepinguid;</w:t>
      </w:r>
    </w:p>
    <w:p w14:paraId="44B30350" w14:textId="5C8315D9" w:rsidR="0080312A" w:rsidRPr="0059792B" w:rsidRDefault="00AE6569"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rõhutades ettevõtete, töötajate ning piirkondlike ja kohalike ametiasutuste vahelisest koostööst ja teabevahetusest saadavat kasu;</w:t>
      </w:r>
    </w:p>
    <w:p w14:paraId="476199EA" w14:textId="4E273BD0" w:rsidR="002E3766" w:rsidRPr="0059792B" w:rsidRDefault="003A27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tunnistades, et COVID-19 pandeemia on mõjutanud meie ühiskonda ja majandust sügavuti, näidates, kui oluline on ELi solidaarsus ning kiire tegutsemine õiglase ja vastupanuvõimelise taastumise nimel, </w:t>
      </w:r>
    </w:p>
    <w:p w14:paraId="2E3800BA" w14:textId="1F648D91" w:rsidR="002E3766" w:rsidRPr="0059792B" w:rsidRDefault="002E3766"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tunneme heameelt</w:t>
      </w:r>
      <w:r>
        <w:rPr>
          <w:rFonts w:ascii="EC Square Sans Pro" w:hAnsi="EC Square Sans Pro"/>
          <w:sz w:val="22"/>
          <w:szCs w:val="22"/>
        </w:rPr>
        <w:t xml:space="preserve"> Euroopa Komisjoni algatatud </w:t>
      </w:r>
      <w:r>
        <w:rPr>
          <w:rFonts w:ascii="EC Square Sans Pro" w:hAnsi="EC Square Sans Pro"/>
          <w:b/>
          <w:sz w:val="22"/>
          <w:szCs w:val="22"/>
        </w:rPr>
        <w:t>oskuste pakti üle</w:t>
      </w:r>
      <w:r>
        <w:rPr>
          <w:rFonts w:ascii="EC Square Sans Pro" w:hAnsi="EC Square Sans Pro"/>
          <w:sz w:val="22"/>
          <w:szCs w:val="22"/>
        </w:rPr>
        <w:t xml:space="preserve">, mille eesmärk on koondada era- ja avaliku sektori partnerite ühised jõupingutused kvaliteetsete investeeringute tegemiseks kõikide tööealiste inimeste oskustesse kogu liidus, </w:t>
      </w:r>
      <w:r>
        <w:rPr>
          <w:rFonts w:ascii="EC Square Sans Pro" w:hAnsi="EC Square Sans Pro"/>
          <w:b/>
          <w:sz w:val="22"/>
          <w:szCs w:val="22"/>
        </w:rPr>
        <w:t>ning järgime ja kaitseme järgmisi aluspõhimõtteid:</w:t>
      </w:r>
    </w:p>
    <w:p w14:paraId="66FFD0CB" w14:textId="5CBC9E99" w:rsidR="00610108" w:rsidRPr="0059792B" w:rsidRDefault="00610108" w:rsidP="00AB28CC">
      <w:pPr>
        <w:pStyle w:val="Text1"/>
        <w:numPr>
          <w:ilvl w:val="0"/>
          <w:numId w:val="2"/>
        </w:numPr>
        <w:spacing w:before="120" w:after="0" w:line="276" w:lineRule="auto"/>
        <w:rPr>
          <w:rFonts w:ascii="EC Square Sans Pro" w:hAnsi="EC Square Sans Pro"/>
          <w:sz w:val="22"/>
          <w:szCs w:val="22"/>
        </w:rPr>
      </w:pPr>
      <w:r>
        <w:rPr>
          <w:rFonts w:ascii="EC Square Sans Pro" w:hAnsi="EC Square Sans Pro"/>
          <w:b/>
          <w:bCs/>
          <w:sz w:val="22"/>
          <w:szCs w:val="22"/>
        </w:rPr>
        <w:t>elukestva õppe kultuuri edendamine kõigi jaoks;</w:t>
      </w:r>
    </w:p>
    <w:p w14:paraId="5DC1E812" w14:textId="5C85E62B"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 xml:space="preserve">tugevate </w:t>
      </w:r>
      <w:proofErr w:type="spellStart"/>
      <w:r>
        <w:rPr>
          <w:rFonts w:ascii="EC Square Sans Pro" w:hAnsi="EC Square Sans Pro"/>
          <w:b/>
          <w:bCs/>
          <w:sz w:val="22"/>
          <w:szCs w:val="22"/>
        </w:rPr>
        <w:t>oskustealaste</w:t>
      </w:r>
      <w:proofErr w:type="spellEnd"/>
      <w:r>
        <w:rPr>
          <w:rFonts w:ascii="EC Square Sans Pro" w:hAnsi="EC Square Sans Pro"/>
          <w:b/>
          <w:bCs/>
          <w:sz w:val="22"/>
          <w:szCs w:val="22"/>
        </w:rPr>
        <w:t xml:space="preserve"> partnerluste loomine;</w:t>
      </w:r>
    </w:p>
    <w:p w14:paraId="66BE6F53" w14:textId="6F97C186"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oskuste pakkumise/nõudluse jälgimine ja vajaminevate oskuste prognoosimine;</w:t>
      </w:r>
    </w:p>
    <w:p w14:paraId="53512182" w14:textId="72F0EC5A" w:rsidR="00610108" w:rsidRPr="0059792B" w:rsidRDefault="00610108" w:rsidP="00AB28CC">
      <w:pPr>
        <w:pStyle w:val="Text1"/>
        <w:numPr>
          <w:ilvl w:val="0"/>
          <w:numId w:val="2"/>
        </w:numPr>
        <w:spacing w:before="120" w:after="0" w:line="276" w:lineRule="auto"/>
        <w:jc w:val="left"/>
        <w:rPr>
          <w:rFonts w:ascii="EC Square Sans Pro" w:hAnsi="EC Square Sans Pro"/>
          <w:sz w:val="22"/>
          <w:szCs w:val="22"/>
        </w:rPr>
      </w:pPr>
      <w:r>
        <w:rPr>
          <w:rFonts w:ascii="EC Square Sans Pro" w:hAnsi="EC Square Sans Pro"/>
          <w:b/>
          <w:bCs/>
          <w:sz w:val="22"/>
          <w:szCs w:val="22"/>
        </w:rPr>
        <w:t>töö diskrimineerimise vastu ning soolise võrdõiguslikkuse ja võrdsete võimaluste nimel.</w:t>
      </w:r>
    </w:p>
    <w:p w14:paraId="27CEEABE" w14:textId="2013A847" w:rsidR="0080312A" w:rsidRDefault="0080312A" w:rsidP="0080312A">
      <w:pPr>
        <w:pStyle w:val="Text1"/>
        <w:spacing w:before="120" w:after="0" w:line="276" w:lineRule="auto"/>
        <w:ind w:left="0"/>
        <w:rPr>
          <w:rFonts w:ascii="EC Square Sans Pro" w:hAnsi="EC Square Sans Pro" w:cstheme="minorHAnsi"/>
          <w:sz w:val="22"/>
          <w:szCs w:val="22"/>
        </w:rPr>
      </w:pPr>
    </w:p>
    <w:p w14:paraId="2D2B741A" w14:textId="7711C7C8" w:rsidR="0059792B" w:rsidRPr="0059792B" w:rsidRDefault="0059792B" w:rsidP="0059792B">
      <w:pPr>
        <w:pStyle w:val="Text1"/>
        <w:spacing w:before="120" w:after="0" w:line="276" w:lineRule="auto"/>
        <w:ind w:left="0"/>
        <w:jc w:val="right"/>
        <w:rPr>
          <w:rFonts w:ascii="EC Square Sans Pro" w:hAnsi="EC Square Sans Pro" w:cstheme="minorHAnsi"/>
          <w:sz w:val="22"/>
          <w:szCs w:val="22"/>
        </w:rPr>
      </w:pPr>
      <w:r>
        <w:rPr>
          <w:rFonts w:ascii="EC Square Sans Pro" w:hAnsi="EC Square Sans Pro"/>
          <w:sz w:val="22"/>
          <w:szCs w:val="22"/>
        </w:rPr>
        <w:t>Alla kirjutanud</w:t>
      </w:r>
    </w:p>
    <w:p w14:paraId="6445B9C6" w14:textId="77777777" w:rsidR="00DB3BD1" w:rsidRPr="0059792B" w:rsidRDefault="00DB3BD1">
      <w:pPr>
        <w:spacing w:before="0" w:after="0"/>
        <w:jc w:val="left"/>
        <w:rPr>
          <w:rFonts w:ascii="EC Square Sans Pro" w:hAnsi="EC Square Sans Pro" w:cstheme="minorHAnsi"/>
          <w:b/>
          <w:sz w:val="28"/>
          <w:szCs w:val="28"/>
        </w:rPr>
      </w:pPr>
      <w:r>
        <w:br w:type="page"/>
      </w:r>
    </w:p>
    <w:p w14:paraId="54C3BA72" w14:textId="04392F2A" w:rsidR="0092105C" w:rsidRPr="0059792B" w:rsidRDefault="00DF26D8"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lastRenderedPageBreak/>
        <w:t>KONKREETSETE KOHUSTUSTE VÕTMINE</w:t>
      </w:r>
    </w:p>
    <w:p w14:paraId="17DC1260" w14:textId="7BD0DBF0" w:rsidR="00E31B0F"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Lisaks aluspõhimõtete järgimisele ja kaitsmisele kutsutakse oskuste paktile allakirjutanuid tungivalt üles esitama konkreetsed võetavad kohustused täiendus- või ümberõppe meetme(te) rakendamiseks, et pakti peamised põhimõtted ellu viia. Seda saab teha mitmel moel, sõltuvalt tingimustest, tööstusökosüsteemist ja kaasatud organisatsioonide liigist (olgu need eraldiseisvad ettevõtted või muud organisatsioonid) või partnerlustest. </w:t>
      </w:r>
    </w:p>
    <w:p w14:paraId="217CB6CB" w14:textId="5CE8453F" w:rsidR="0092105C"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Järgnevalt on esitatud esialgne ja mittetäielik loetelu soodustavatest teguritest, mis võivad toetada konkreetsete kohustuste väljatöötamist. Kohustuste kavandamisel peaksid organisatsioonid või partnerlused koos konkreetse(te) täiendus- ja ümberõppe meetme(te)</w:t>
      </w:r>
      <w:proofErr w:type="spellStart"/>
      <w:r>
        <w:rPr>
          <w:rFonts w:ascii="EC Square Sans Pro" w:hAnsi="EC Square Sans Pro"/>
          <w:sz w:val="22"/>
          <w:szCs w:val="22"/>
        </w:rPr>
        <w:t>ga</w:t>
      </w:r>
      <w:proofErr w:type="spellEnd"/>
      <w:r>
        <w:rPr>
          <w:rFonts w:ascii="EC Square Sans Pro" w:hAnsi="EC Square Sans Pro"/>
          <w:sz w:val="22"/>
          <w:szCs w:val="22"/>
        </w:rPr>
        <w:t xml:space="preserve"> valima asjakohased soodustavad tegurid ning neid vastavalt vajadusele kohandama ja integreerima, et need vastaksid nende kohustuse sisule. Samuti peaksid nad tooma kohustuse täitmise jälgimiseks välja vähemalt ühe võtmetähtsusega tulemuslikkuse põhinäitaja, näiteks täiendus- või ümberõppes osalevate inimeste arvu.</w:t>
      </w:r>
    </w:p>
    <w:p w14:paraId="56EAC29A" w14:textId="35C9ECAA" w:rsidR="00A46659"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Elukestva õppe kultuuri edendamine kõigi jaoks</w:t>
      </w:r>
    </w:p>
    <w:p w14:paraId="746FAEF9" w14:textId="45F1129F" w:rsidR="00610108"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Organisatsioon edendab oma inimeste oskusi, mis on edu saavutamiseks hädavajalikud. </w:t>
      </w:r>
    </w:p>
    <w:p w14:paraId="7B988AD8" w14:textId="555ED8A7" w:rsidR="00610108" w:rsidRPr="0059792B" w:rsidRDefault="00D156BA"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Tööandjaid ja töötajaid teavitatakse täiendus- ja ümberõppe väärtusest ja kasust ning neid motiveeritakse pidevalt oma teadmisi ja oskusi parandama.</w:t>
      </w:r>
    </w:p>
    <w:p w14:paraId="26136FE4" w14:textId="0CE1D3FE" w:rsidR="00610108" w:rsidRPr="0059792B" w:rsidRDefault="00610108"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Meede töötatakse välja töötajate jaoks ja nendega koos ning seda toetatakse kõigil juhtimistasanditel. </w:t>
      </w:r>
    </w:p>
    <w:p w14:paraId="48002E22" w14:textId="1953C653" w:rsidR="000E1A31"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Pakutakse nõustamist ja karjääri edendamise tuge.</w:t>
      </w:r>
    </w:p>
    <w:p w14:paraId="52B83533" w14:textId="2989E060" w:rsidR="00610108" w:rsidRPr="0059792B" w:rsidRDefault="007669A6"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Kasutatakse asjakohaseid rahalisi vahendeid.</w:t>
      </w:r>
    </w:p>
    <w:p w14:paraId="7FDDC847" w14:textId="7FFE5876" w:rsidR="00610108" w:rsidRPr="0059792B" w:rsidRDefault="006E34FF"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Toimub korrapärane järelevalve ja kvaliteedi hindamine. </w:t>
      </w:r>
    </w:p>
    <w:p w14:paraId="7A595B6D" w14:textId="16929381" w:rsidR="00610108" w:rsidRPr="0059792B" w:rsidRDefault="0022195C"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Erilist tähelepanu pööratakse ebasoodsas olukorras olevate rühmade, sealhulgas eakamate töötajate ja põhioskustega hädas olevate täiskasvanute täiendus- ja ümberõppele.</w:t>
      </w:r>
    </w:p>
    <w:p w14:paraId="09148CF1" w14:textId="4EEB302E" w:rsidR="00610108" w:rsidRPr="0059792B" w:rsidRDefault="006E34FF"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Juhtkonnale ja töötajatele pakutakse tuge õppimiseks ja selliste takistuste ületamiseks nagu täiendus- või ümberõppe võimalustega seotud aja, vahendite või teabe puudumine.</w:t>
      </w:r>
    </w:p>
    <w:p w14:paraId="2025A884" w14:textId="591C1DE3" w:rsidR="00E44623"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Ettevõtete jaoks on olemas rahalised ja mitterahalised stiimulid pakkuda tööandjatele ja töötajatele täiendus- ja ümberõpet.</w:t>
      </w:r>
    </w:p>
    <w:p w14:paraId="0E1D140B" w14:textId="116877C0" w:rsidR="00E44623" w:rsidRPr="0059792B" w:rsidRDefault="00E44623" w:rsidP="00283AE0">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Mikro-, väikestele ja keskmise suurusega ettevõtjatele on kättesaadav sihtotstarbeline toetus (nt vahendid, teenused ja rahastus), et luua ja säilitada organisatsioonis nii juhtkonna kui ka töötajate õpikultuur.</w:t>
      </w:r>
    </w:p>
    <w:p w14:paraId="357F5E3E" w14:textId="48A81CB8" w:rsidR="00610108" w:rsidRPr="0059792B" w:rsidRDefault="00610108"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 xml:space="preserve">Tugevate </w:t>
      </w:r>
      <w:proofErr w:type="spellStart"/>
      <w:r>
        <w:rPr>
          <w:rFonts w:ascii="EC Square Sans Pro" w:hAnsi="EC Square Sans Pro"/>
          <w:b/>
          <w:sz w:val="22"/>
          <w:szCs w:val="22"/>
        </w:rPr>
        <w:t>oskustealaste</w:t>
      </w:r>
      <w:proofErr w:type="spellEnd"/>
      <w:r>
        <w:rPr>
          <w:rFonts w:ascii="EC Square Sans Pro" w:hAnsi="EC Square Sans Pro"/>
          <w:b/>
          <w:sz w:val="22"/>
          <w:szCs w:val="22"/>
        </w:rPr>
        <w:t xml:space="preserve"> partnerluste loomine </w:t>
      </w:r>
    </w:p>
    <w:p w14:paraId="6FEB8D09" w14:textId="522BA2D1" w:rsidR="00610108"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 xml:space="preserve">Kaasatud on suur hulk sidusrühmi, eelkõige sotsiaalpartnerid, koolitusteenuse </w:t>
      </w:r>
      <w:proofErr w:type="spellStart"/>
      <w:r>
        <w:rPr>
          <w:rFonts w:ascii="EC Square Sans Pro" w:hAnsi="EC Square Sans Pro"/>
          <w:sz w:val="22"/>
          <w:szCs w:val="22"/>
        </w:rPr>
        <w:t>osutajad</w:t>
      </w:r>
      <w:proofErr w:type="spellEnd"/>
      <w:r>
        <w:rPr>
          <w:rFonts w:ascii="EC Square Sans Pro" w:hAnsi="EC Square Sans Pro"/>
          <w:sz w:val="22"/>
          <w:szCs w:val="22"/>
        </w:rPr>
        <w:t xml:space="preserve">, avaliku sektori asutused, teadlased, avalikud või eraõiguslikud tööturuasutused, kaubanduskojad ja muud vahendusasutused ning valdkondlikud organisatsioonid. </w:t>
      </w:r>
    </w:p>
    <w:p w14:paraId="3A8E8091" w14:textId="70390678" w:rsidR="00610108" w:rsidRDefault="00FA5FFC"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Partnerlus tööstusökosüsteemis on avatud kõigile asjakohastele sidusrühmadele, et koondada eksperditeadmisi ja ressursse konkreetsete meetmete jaoks, mis võimaldavad inimestel säilitada ja muuta töökohti ning leida uusi. </w:t>
      </w:r>
    </w:p>
    <w:p w14:paraId="56BA1EC8" w14:textId="06FE7D02" w:rsidR="004C3338" w:rsidRPr="0059792B" w:rsidRDefault="004C3338" w:rsidP="004C3338">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lastRenderedPageBreak/>
        <w:t>Partnerluse raames tehakse vajaduse korral koostööd Euroopa, riiklikul, piirkondlikul või kohalikul tasandil.</w:t>
      </w:r>
    </w:p>
    <w:p w14:paraId="07E6FC8B" w14:textId="2FA4354C" w:rsidR="00610108" w:rsidRPr="0059792B" w:rsidRDefault="00347462"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Toetatakse </w:t>
      </w:r>
      <w:proofErr w:type="spellStart"/>
      <w:r>
        <w:rPr>
          <w:rFonts w:ascii="EC Square Sans Pro" w:hAnsi="EC Square Sans Pro"/>
          <w:sz w:val="22"/>
          <w:szCs w:val="22"/>
        </w:rPr>
        <w:t>valdkondadevahelist</w:t>
      </w:r>
      <w:proofErr w:type="spellEnd"/>
      <w:r>
        <w:rPr>
          <w:rFonts w:ascii="EC Square Sans Pro" w:hAnsi="EC Square Sans Pro"/>
          <w:sz w:val="22"/>
          <w:szCs w:val="22"/>
        </w:rPr>
        <w:t xml:space="preserve"> koostööd sektorite/tööstusökosüsteemide asjakohaste partnerluste vahel.</w:t>
      </w:r>
    </w:p>
    <w:p w14:paraId="2EE0BF81" w14:textId="00A529FF"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Tagatud on iga partneri jagatud vastutus ja ennetav roll.</w:t>
      </w:r>
    </w:p>
    <w:p w14:paraId="0D9D7987" w14:textId="5B48DE9F" w:rsidR="000E1A31" w:rsidRPr="0059792B" w:rsidRDefault="006E34FF"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Partnerluse liikmed peavad avatud dialoogi ning jagavad ja vahetavad teadmisi, et tagada koolituspakkumise kõrge kvaliteet, sealhulgas õpetajate/koolitajate ja koolitusprogrammide kvaliteet. </w:t>
      </w:r>
    </w:p>
    <w:p w14:paraId="7F1F814A" w14:textId="057A3E7B"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Partnerlus tugineb oma tegevuses läbiproovitud vahenditele, kuid arendab ka uuenduslikke lahendusi.</w:t>
      </w:r>
    </w:p>
    <w:p w14:paraId="4FEABA9A" w14:textId="39716BD0"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Oskuste pakkumise/nõudluse jälgimine ja vajaminevate oskuste prognoosimine</w:t>
      </w:r>
    </w:p>
    <w:p w14:paraId="2CE160BB" w14:textId="77777777" w:rsidR="00610108"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Regulaarselt jälgitakse nõudlust (tööalaste ja valdkonnaüleste) oskuste järele ja nende pakkumist ning inimesi teavitatakse selgelt vajaminevatest oskustest. </w:t>
      </w:r>
    </w:p>
    <w:p w14:paraId="580B7F3C" w14:textId="77777777" w:rsidR="003B6302"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Oskuste prognoosimisel võetakse arvesse vajadust toetada </w:t>
      </w:r>
      <w:proofErr w:type="spellStart"/>
      <w:r>
        <w:rPr>
          <w:rFonts w:ascii="EC Square Sans Pro" w:hAnsi="EC Square Sans Pro"/>
          <w:sz w:val="22"/>
          <w:szCs w:val="22"/>
        </w:rPr>
        <w:t>digi</w:t>
      </w:r>
      <w:proofErr w:type="spellEnd"/>
      <w:r>
        <w:rPr>
          <w:rFonts w:ascii="EC Square Sans Pro" w:hAnsi="EC Square Sans Pro"/>
          <w:sz w:val="22"/>
          <w:szCs w:val="22"/>
        </w:rPr>
        <w:t xml:space="preserve">- ja rohepööret ning demograafiliste muutuste tagajärgi. </w:t>
      </w:r>
    </w:p>
    <w:p w14:paraId="5D48B295" w14:textId="702FE981" w:rsidR="00610108" w:rsidRPr="0059792B" w:rsidRDefault="003B6302"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Oskuste nõudluse ja pakkumise jälgimisel vaadeldakse piirkondlikul, riiklikul ja Euroopa tasandil tööjõu ja ettevõtete vajadust oskuste järele.</w:t>
      </w:r>
    </w:p>
    <w:p w14:paraId="12C1E9BC" w14:textId="77777777" w:rsidR="004C3338" w:rsidRPr="004C3338" w:rsidRDefault="0061010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Oskuste prognoosimine hõlmab kiireid muutusi tööturul ning annab vajaminevate oskuste kohta asjakohast ja õigeaegset teavet.</w:t>
      </w:r>
      <w:r>
        <w:t xml:space="preserve"> </w:t>
      </w:r>
    </w:p>
    <w:p w14:paraId="48F7F75D" w14:textId="2DE9C724" w:rsidR="00610108" w:rsidRPr="0059792B" w:rsidRDefault="004C333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Oskuste prognoosimisel võetakse arvesse piirkondlikke, riiklikke ja Euroopa arengusuundi.</w:t>
      </w:r>
    </w:p>
    <w:p w14:paraId="6BD98093" w14:textId="791DEDA0" w:rsidR="00610108" w:rsidRPr="0059792B" w:rsidRDefault="001130DA"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Järelevalvemehhanism ei hõlma mitte ainult tööga seotud vajaminevaid oskusi, vaid ka vajadusi valdkonnaüleste ja põhioskuste järele.</w:t>
      </w:r>
    </w:p>
    <w:p w14:paraId="4F41DDA8" w14:textId="0C320565" w:rsidR="00610108" w:rsidRPr="0059792B" w:rsidRDefault="001130DA" w:rsidP="00AB28CC">
      <w:pPr>
        <w:pStyle w:val="Text1"/>
        <w:numPr>
          <w:ilvl w:val="0"/>
          <w:numId w:val="5"/>
        </w:numPr>
        <w:spacing w:before="120" w:after="0" w:line="276" w:lineRule="auto"/>
        <w:rPr>
          <w:rFonts w:ascii="EC Square Sans Pro" w:hAnsi="EC Square Sans Pro" w:cstheme="minorHAnsi"/>
          <w:sz w:val="22"/>
          <w:szCs w:val="22"/>
        </w:rPr>
      </w:pPr>
      <w:r>
        <w:rPr>
          <w:rFonts w:ascii="EC Square Sans Pro" w:hAnsi="EC Square Sans Pro"/>
          <w:sz w:val="22"/>
          <w:szCs w:val="22"/>
        </w:rPr>
        <w:t>Meede põhineb kindlaksmääratud vajaminevatel oskustel, nii tööga seotud kui ka nn pehmetel pädevustel.</w:t>
      </w:r>
    </w:p>
    <w:p w14:paraId="7254DFFF" w14:textId="33F6C60D"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Töö diskrimineerimise vastu ning soolise võrdõiguslikkuse ja võrdsete võimaluste nimel</w:t>
      </w:r>
    </w:p>
    <w:p w14:paraId="6D6DA112" w14:textId="087FAF3C" w:rsidR="002F22E0" w:rsidRPr="0059792B" w:rsidRDefault="001130DA" w:rsidP="002F22E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Meetme kaudu edendatakse aktiivselt võrdseid võimalusi, olenemata soost, </w:t>
      </w:r>
      <w:proofErr w:type="spellStart"/>
      <w:r>
        <w:rPr>
          <w:rFonts w:ascii="EC Square Sans Pro" w:hAnsi="EC Square Sans Pro"/>
          <w:sz w:val="22"/>
          <w:szCs w:val="22"/>
        </w:rPr>
        <w:t>rassilisest</w:t>
      </w:r>
      <w:proofErr w:type="spellEnd"/>
      <w:r>
        <w:rPr>
          <w:rFonts w:ascii="EC Square Sans Pro" w:hAnsi="EC Square Sans Pro"/>
          <w:sz w:val="22"/>
          <w:szCs w:val="22"/>
        </w:rPr>
        <w:t xml:space="preserve"> või etnilisest päritolust, usutunnistusest või veendumustest, puudest, vanusest või seksuaalsest </w:t>
      </w:r>
      <w:proofErr w:type="spellStart"/>
      <w:r>
        <w:rPr>
          <w:rFonts w:ascii="EC Square Sans Pro" w:hAnsi="EC Square Sans Pro"/>
          <w:sz w:val="22"/>
          <w:szCs w:val="22"/>
        </w:rPr>
        <w:t>sättumusest</w:t>
      </w:r>
      <w:proofErr w:type="spellEnd"/>
      <w:r>
        <w:rPr>
          <w:rFonts w:ascii="EC Square Sans Pro" w:hAnsi="EC Square Sans Pro"/>
          <w:sz w:val="22"/>
          <w:szCs w:val="22"/>
        </w:rPr>
        <w:t>.</w:t>
      </w:r>
    </w:p>
    <w:p w14:paraId="56139681" w14:textId="559C82C7" w:rsidR="00610108" w:rsidRPr="0059792B" w:rsidRDefault="00774040" w:rsidP="0077404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Meetmega pakutakse sihtrühmade kõigile liikmetele kvaliteetse täiendus- või ümberõppe võimalusi, olenemata soost, </w:t>
      </w:r>
      <w:proofErr w:type="spellStart"/>
      <w:r>
        <w:rPr>
          <w:rFonts w:ascii="EC Square Sans Pro" w:hAnsi="EC Square Sans Pro"/>
          <w:sz w:val="22"/>
          <w:szCs w:val="22"/>
        </w:rPr>
        <w:t>rassilisest</w:t>
      </w:r>
      <w:proofErr w:type="spellEnd"/>
      <w:r>
        <w:rPr>
          <w:rFonts w:ascii="EC Square Sans Pro" w:hAnsi="EC Square Sans Pro"/>
          <w:sz w:val="22"/>
          <w:szCs w:val="22"/>
        </w:rPr>
        <w:t xml:space="preserve"> või etnilisest päritolust, usutunnistusest või veendumustest, puudest, vanusest</w:t>
      </w:r>
      <w:r w:rsidRPr="0059792B">
        <w:rPr>
          <w:rStyle w:val="FootnoteReference"/>
          <w:rFonts w:ascii="EC Square Sans Pro" w:hAnsi="EC Square Sans Pro" w:cstheme="minorHAnsi"/>
          <w:sz w:val="22"/>
          <w:szCs w:val="22"/>
        </w:rPr>
        <w:footnoteReference w:id="3"/>
      </w:r>
      <w:r>
        <w:rPr>
          <w:rFonts w:ascii="EC Square Sans Pro" w:hAnsi="EC Square Sans Pro"/>
          <w:sz w:val="22"/>
          <w:szCs w:val="22"/>
        </w:rPr>
        <w:t xml:space="preserve"> või seksuaalsest </w:t>
      </w:r>
      <w:proofErr w:type="spellStart"/>
      <w:r>
        <w:rPr>
          <w:rFonts w:ascii="EC Square Sans Pro" w:hAnsi="EC Square Sans Pro"/>
          <w:sz w:val="22"/>
          <w:szCs w:val="22"/>
        </w:rPr>
        <w:t>sättumusest</w:t>
      </w:r>
      <w:proofErr w:type="spellEnd"/>
      <w:r>
        <w:rPr>
          <w:rFonts w:ascii="EC Square Sans Pro" w:hAnsi="EC Square Sans Pro"/>
          <w:sz w:val="22"/>
          <w:szCs w:val="22"/>
        </w:rPr>
        <w:t xml:space="preserve">. </w:t>
      </w:r>
    </w:p>
    <w:p w14:paraId="4881B9BD" w14:textId="7DD69CD0" w:rsidR="00610108" w:rsidRPr="0059792B" w:rsidRDefault="00774040" w:rsidP="00AB28CC">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Meede hõlmab omandatud oskuste (sh mikrokvalifikatsioonitunnistused) valideerimist ja tunnustamist.</w:t>
      </w:r>
    </w:p>
    <w:p w14:paraId="524E032D" w14:textId="5CAB99B1" w:rsidR="00610108" w:rsidRPr="0059792B" w:rsidRDefault="00610108" w:rsidP="00AB28CC">
      <w:pPr>
        <w:pStyle w:val="Text1"/>
        <w:numPr>
          <w:ilvl w:val="0"/>
          <w:numId w:val="7"/>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Arvesse võetakse üksikisikute vajadusi ja suutlikkust, sealhulgas nende isiklikke ja kutsealaseid vajadusi (nt elukutse vahetamine keskeas).</w:t>
      </w:r>
    </w:p>
    <w:p w14:paraId="2B2F0D54" w14:textId="615E20AE" w:rsidR="00E35952" w:rsidRPr="000D72F3" w:rsidRDefault="006E34FF" w:rsidP="004D0D31">
      <w:pPr>
        <w:pStyle w:val="Text1"/>
        <w:numPr>
          <w:ilvl w:val="0"/>
          <w:numId w:val="7"/>
        </w:numPr>
        <w:spacing w:after="0" w:line="276" w:lineRule="auto"/>
        <w:ind w:right="113"/>
        <w:jc w:val="left"/>
        <w:rPr>
          <w:rFonts w:ascii="EC Square Sans Pro" w:hAnsi="EC Square Sans Pro" w:cstheme="minorHAnsi"/>
          <w:sz w:val="22"/>
          <w:szCs w:val="22"/>
        </w:rPr>
      </w:pPr>
      <w:r>
        <w:rPr>
          <w:rFonts w:ascii="EC Square Sans Pro" w:hAnsi="EC Square Sans Pro"/>
          <w:sz w:val="22"/>
          <w:szCs w:val="22"/>
        </w:rPr>
        <w:lastRenderedPageBreak/>
        <w:t xml:space="preserve">Meede on paindlik, seda pakutakse moodulina ja võimaluse korral selliste vahendite (sealhulgas digitaalsete vahendite) kaudu, mis tagavad kõigile tööealistele inimestele juurdepääsu õppimisele. </w:t>
      </w:r>
    </w:p>
    <w:sectPr w:rsidR="00E35952" w:rsidRPr="000D72F3" w:rsidSect="00AB28CC">
      <w:headerReference w:type="even" r:id="rId8"/>
      <w:headerReference w:type="default" r:id="rId9"/>
      <w:footerReference w:type="even" r:id="rId10"/>
      <w:footerReference w:type="default" r:id="rId11"/>
      <w:headerReference w:type="first" r:id="rId12"/>
      <w:footerReference w:type="first" r:id="rId13"/>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Default="00432AD9" w:rsidP="008151F7">
      <w:pPr>
        <w:spacing w:before="0" w:after="0"/>
      </w:pPr>
      <w:r>
        <w:separator/>
      </w:r>
    </w:p>
  </w:endnote>
  <w:endnote w:type="continuationSeparator" w:id="0">
    <w:p w14:paraId="74EFB546" w14:textId="77777777" w:rsidR="00432AD9" w:rsidRDefault="00432AD9" w:rsidP="008151F7">
      <w:pPr>
        <w:spacing w:before="0" w:after="0"/>
      </w:pPr>
      <w:r>
        <w:continuationSeparator/>
      </w:r>
    </w:p>
  </w:endnote>
  <w:endnote w:type="continuationNotice" w:id="1">
    <w:p w14:paraId="403A5F65" w14:textId="77777777" w:rsidR="00432AD9"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altName w:val="Bahnschrift Light"/>
    <w:panose1 w:val="020B0506040000020004"/>
    <w:charset w:val="00"/>
    <w:family w:val="swiss"/>
    <w:pitch w:val="variable"/>
    <w:sig w:usb0="A00002B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502E" w14:textId="77777777" w:rsidR="001C4D40" w:rsidRDefault="001C4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0BD0F" w14:textId="77777777" w:rsidR="00C15301" w:rsidRPr="001C4D40" w:rsidRDefault="00C15301" w:rsidP="001C4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E2A9" w14:textId="77777777" w:rsidR="001C4D40" w:rsidRDefault="001C4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Default="00432AD9" w:rsidP="008151F7">
      <w:pPr>
        <w:spacing w:before="0" w:after="0"/>
      </w:pPr>
      <w:r>
        <w:separator/>
      </w:r>
    </w:p>
  </w:footnote>
  <w:footnote w:type="continuationSeparator" w:id="0">
    <w:p w14:paraId="1A652DF5" w14:textId="77777777" w:rsidR="00432AD9" w:rsidRDefault="00432AD9" w:rsidP="008151F7">
      <w:pPr>
        <w:spacing w:before="0" w:after="0"/>
      </w:pPr>
      <w:r>
        <w:continuationSeparator/>
      </w:r>
    </w:p>
  </w:footnote>
  <w:footnote w:type="continuationNotice" w:id="1">
    <w:p w14:paraId="54DEE4A9" w14:textId="77777777" w:rsidR="00432AD9" w:rsidRDefault="00432AD9">
      <w:pPr>
        <w:spacing w:before="0" w:after="0"/>
      </w:pPr>
    </w:p>
  </w:footnote>
  <w:footnote w:id="2">
    <w:p w14:paraId="6C35FB22" w14:textId="77777777" w:rsidR="000D72F3" w:rsidRDefault="000D72F3" w:rsidP="000D72F3">
      <w:pPr>
        <w:pStyle w:val="FootnoteText"/>
      </w:pPr>
      <w:r>
        <w:rPr>
          <w:rStyle w:val="FootnoteReference"/>
        </w:rPr>
        <w:footnoteRef/>
      </w:r>
      <w:r>
        <w:t xml:space="preserve"> </w:t>
      </w:r>
      <w:r>
        <w:tab/>
        <w:t xml:space="preserve">Näiteks Euroopa Sotsiaalfond+, REACT_EU, õiglase ülemineku fond, </w:t>
      </w:r>
      <w:proofErr w:type="spellStart"/>
      <w:r>
        <w:t>Erasmus</w:t>
      </w:r>
      <w:proofErr w:type="spellEnd"/>
      <w:r>
        <w:t>+, programm „Euroopa horisont“, programm „Digitaalne Euroopa“, Euroopa Regionaalarengu Fond, programm „</w:t>
      </w:r>
      <w:proofErr w:type="spellStart"/>
      <w:r>
        <w:t>InvestEU</w:t>
      </w:r>
      <w:proofErr w:type="spellEnd"/>
      <w:r>
        <w:t>“ ja moderniseerimisfond.</w:t>
      </w:r>
    </w:p>
  </w:footnote>
  <w:footnote w:id="3">
    <w:p w14:paraId="0A32517E" w14:textId="16C3F6B3" w:rsidR="00774040" w:rsidRDefault="00774040">
      <w:pPr>
        <w:pStyle w:val="FootnoteText"/>
      </w:pPr>
      <w:r>
        <w:rPr>
          <w:rStyle w:val="FootnoteReference"/>
        </w:rPr>
        <w:footnoteRef/>
      </w:r>
      <w:r>
        <w:t xml:space="preserve"> </w:t>
      </w:r>
      <w:r>
        <w:tab/>
      </w:r>
      <w:r>
        <w:t>Välja arvatud juhul, kui see on põhjendatud meetme laadiga, nt eakamatele või noorematele töötajatele suunatud täiendus- ja ümberõppe algatused.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481E6" w14:textId="271A661A" w:rsidR="001C4D40" w:rsidRDefault="001C4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DA742" w14:textId="3ACBC93D" w:rsidR="001C4D40" w:rsidRPr="00926193" w:rsidRDefault="001C4D40" w:rsidP="00926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FAAB" w14:textId="48F2D677" w:rsidR="001C4D40" w:rsidRDefault="001C4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removePersonalInformation/>
  <w:removeDateAndTime/>
  <w:proofState w:spelling="clean" w:grammar="clean"/>
  <w:trackRevisions/>
  <w:doNotTrackFormatting/>
  <w:defaultTabStop w:val="720"/>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52B0"/>
    <w:rsid w:val="000A1A8B"/>
    <w:rsid w:val="000A75C4"/>
    <w:rsid w:val="000B18D4"/>
    <w:rsid w:val="000D09E9"/>
    <w:rsid w:val="000D68D8"/>
    <w:rsid w:val="000D72F3"/>
    <w:rsid w:val="000E0FCB"/>
    <w:rsid w:val="000E1A31"/>
    <w:rsid w:val="000E1DB8"/>
    <w:rsid w:val="000E2D77"/>
    <w:rsid w:val="000F18F3"/>
    <w:rsid w:val="00112082"/>
    <w:rsid w:val="00112F24"/>
    <w:rsid w:val="001130DA"/>
    <w:rsid w:val="00115FFB"/>
    <w:rsid w:val="00116DDA"/>
    <w:rsid w:val="00131F33"/>
    <w:rsid w:val="00156F14"/>
    <w:rsid w:val="00163B50"/>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51D05"/>
    <w:rsid w:val="00253E8A"/>
    <w:rsid w:val="00254831"/>
    <w:rsid w:val="002561F6"/>
    <w:rsid w:val="0026216D"/>
    <w:rsid w:val="002874E2"/>
    <w:rsid w:val="0029201E"/>
    <w:rsid w:val="00296BEC"/>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A2765"/>
    <w:rsid w:val="003B6302"/>
    <w:rsid w:val="003C5B80"/>
    <w:rsid w:val="003C615C"/>
    <w:rsid w:val="003D118D"/>
    <w:rsid w:val="003E7102"/>
    <w:rsid w:val="00401C59"/>
    <w:rsid w:val="00405D2E"/>
    <w:rsid w:val="00410BEA"/>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40E0"/>
    <w:rsid w:val="004A6A6A"/>
    <w:rsid w:val="004A770B"/>
    <w:rsid w:val="004B62FB"/>
    <w:rsid w:val="004C3338"/>
    <w:rsid w:val="004C3C69"/>
    <w:rsid w:val="004C3EBA"/>
    <w:rsid w:val="004D6453"/>
    <w:rsid w:val="004D747E"/>
    <w:rsid w:val="004E3DC1"/>
    <w:rsid w:val="005130D4"/>
    <w:rsid w:val="005166DE"/>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10108"/>
    <w:rsid w:val="00611233"/>
    <w:rsid w:val="00627192"/>
    <w:rsid w:val="006403DC"/>
    <w:rsid w:val="00644877"/>
    <w:rsid w:val="00645A9A"/>
    <w:rsid w:val="00646783"/>
    <w:rsid w:val="00664479"/>
    <w:rsid w:val="006666A1"/>
    <w:rsid w:val="006675B5"/>
    <w:rsid w:val="006722F2"/>
    <w:rsid w:val="00683CE3"/>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9271D"/>
    <w:rsid w:val="008946A8"/>
    <w:rsid w:val="0089644C"/>
    <w:rsid w:val="008A151C"/>
    <w:rsid w:val="008A3F22"/>
    <w:rsid w:val="008A4FF1"/>
    <w:rsid w:val="008B1F79"/>
    <w:rsid w:val="008B4702"/>
    <w:rsid w:val="008B7912"/>
    <w:rsid w:val="008C28D7"/>
    <w:rsid w:val="008C6C2D"/>
    <w:rsid w:val="008C70D4"/>
    <w:rsid w:val="008D687C"/>
    <w:rsid w:val="008E48EE"/>
    <w:rsid w:val="008F6AF0"/>
    <w:rsid w:val="00901D2B"/>
    <w:rsid w:val="009043CC"/>
    <w:rsid w:val="00904E04"/>
    <w:rsid w:val="009160FD"/>
    <w:rsid w:val="0092105C"/>
    <w:rsid w:val="009250C3"/>
    <w:rsid w:val="00926193"/>
    <w:rsid w:val="00937674"/>
    <w:rsid w:val="00940BD0"/>
    <w:rsid w:val="009667EE"/>
    <w:rsid w:val="0097123C"/>
    <w:rsid w:val="00976B5A"/>
    <w:rsid w:val="009846DF"/>
    <w:rsid w:val="0099298F"/>
    <w:rsid w:val="009966B9"/>
    <w:rsid w:val="00996C33"/>
    <w:rsid w:val="009B2D95"/>
    <w:rsid w:val="009B5B3A"/>
    <w:rsid w:val="009D0EA2"/>
    <w:rsid w:val="009E6E62"/>
    <w:rsid w:val="00A1205D"/>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469A"/>
    <w:rsid w:val="00BD4A78"/>
    <w:rsid w:val="00BE3C2D"/>
    <w:rsid w:val="00BF7233"/>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4C92"/>
    <w:rsid w:val="00DB033B"/>
    <w:rsid w:val="00DB3BD1"/>
    <w:rsid w:val="00DB7A78"/>
    <w:rsid w:val="00DC2D7D"/>
    <w:rsid w:val="00DC3802"/>
    <w:rsid w:val="00DD61E3"/>
    <w:rsid w:val="00DE327E"/>
    <w:rsid w:val="00DE4159"/>
    <w:rsid w:val="00DF26D8"/>
    <w:rsid w:val="00DF392E"/>
    <w:rsid w:val="00E05117"/>
    <w:rsid w:val="00E10029"/>
    <w:rsid w:val="00E2010C"/>
    <w:rsid w:val="00E2764D"/>
    <w:rsid w:val="00E31B0F"/>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t-EE"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eastAsia="ja-JP"/>
    </w:rPr>
  </w:style>
  <w:style w:type="character" w:customStyle="1" w:styleId="QuoteChar">
    <w:name w:val="Quote Char"/>
    <w:basedOn w:val="DefaultParagraphFont"/>
    <w:link w:val="Quote"/>
    <w:uiPriority w:val="99"/>
    <w:rsid w:val="001F7F7B"/>
    <w:rPr>
      <w:i/>
      <w:iCs/>
      <w:color w:val="000000"/>
      <w:lang w:val="et-EE" w:eastAsia="ja-JP"/>
    </w:rPr>
  </w:style>
  <w:style w:type="paragraph" w:styleId="TOCHeading">
    <w:name w:val="TOC Heading"/>
    <w:basedOn w:val="Heading1"/>
    <w:next w:val="Normal"/>
    <w:uiPriority w:val="99"/>
    <w:qFormat/>
    <w:rsid w:val="001F7F7B"/>
    <w:pPr>
      <w:outlineLvl w:val="9"/>
    </w:pPr>
    <w:rPr>
      <w:lang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90275F5-ECD3-4356-BD83-E0178B0F679E}">
  <ds:schemaRefs>
    <ds:schemaRef ds:uri="http://schemas.openxmlformats.org/officeDocument/2006/bibliography"/>
  </ds:schemaRefs>
</ds:datastoreItem>
</file>

<file path=customXml/itemProps2.xml><?xml version="1.0" encoding="utf-8"?>
<ds:datastoreItem xmlns:ds="http://schemas.openxmlformats.org/officeDocument/2006/customXml" ds:itemID="{E9C743D8-4EC7-4234-A635-A62031B769A6}"/>
</file>

<file path=customXml/itemProps3.xml><?xml version="1.0" encoding="utf-8"?>
<ds:datastoreItem xmlns:ds="http://schemas.openxmlformats.org/officeDocument/2006/customXml" ds:itemID="{E590111F-15D1-435B-9852-9740EACBAD48}"/>
</file>

<file path=customXml/itemProps4.xml><?xml version="1.0" encoding="utf-8"?>
<ds:datastoreItem xmlns:ds="http://schemas.openxmlformats.org/officeDocument/2006/customXml" ds:itemID="{5E25234F-3ADA-4919-B40A-50A2DA144DF5}"/>
</file>

<file path=docProps/app.xml><?xml version="1.0" encoding="utf-8"?>
<Properties xmlns="http://schemas.openxmlformats.org/officeDocument/2006/extended-properties" xmlns:vt="http://schemas.openxmlformats.org/officeDocument/2006/docPropsVTypes">
  <Template>Normal.dotm</Template>
  <TotalTime>0</TotalTime>
  <Pages>6</Pages>
  <Words>1192</Words>
  <Characters>9442</Characters>
  <Application>Microsoft Office Word</Application>
  <DocSecurity>0</DocSecurity>
  <Lines>174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2020-11-23T14:52:00Z</dcterms:created>
  <dcterms:modified xsi:type="dcterms:W3CDTF">2021-02-08T15:11:00Z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