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9B5B14" w14:textId="77777777" w:rsidR="00B61126" w:rsidRDefault="00B61126" w:rsidP="000D72F3">
      <w:pPr>
        <w:pStyle w:val="Briefingtext"/>
        <w:spacing w:after="0" w:line="276" w:lineRule="auto"/>
        <w:rPr>
          <w:rFonts w:ascii="EC Square Sans Pro" w:hAnsi="EC Square Sans Pro"/>
          <w:b/>
          <w:sz w:val="28"/>
          <w:szCs w:val="28"/>
          <w14:ligatures w14:val="none"/>
        </w:rPr>
      </w:pPr>
    </w:p>
    <w:p w14:paraId="41D680A4" w14:textId="77777777" w:rsidR="00B61126" w:rsidRDefault="00B61126" w:rsidP="000D72F3">
      <w:pPr>
        <w:pStyle w:val="Briefingtext"/>
        <w:spacing w:after="0" w:line="276" w:lineRule="auto"/>
        <w:rPr>
          <w:rFonts w:ascii="EC Square Sans Pro" w:hAnsi="EC Square Sans Pro"/>
          <w:b/>
          <w:sz w:val="28"/>
          <w:szCs w:val="28"/>
          <w14:ligatures w14:val="none"/>
        </w:rPr>
      </w:pPr>
    </w:p>
    <w:p w14:paraId="1133118D" w14:textId="77777777" w:rsidR="00B61126" w:rsidRDefault="00B61126" w:rsidP="000D72F3">
      <w:pPr>
        <w:pStyle w:val="Briefingtext"/>
        <w:spacing w:after="0" w:line="276" w:lineRule="auto"/>
        <w:rPr>
          <w:rFonts w:ascii="EC Square Sans Pro" w:hAnsi="EC Square Sans Pro"/>
          <w:b/>
          <w:sz w:val="28"/>
          <w:szCs w:val="28"/>
          <w14:ligatures w14:val="none"/>
        </w:rPr>
      </w:pPr>
    </w:p>
    <w:p w14:paraId="5F0AC7A6" w14:textId="77777777" w:rsidR="00B61126" w:rsidRDefault="00B61126" w:rsidP="000D72F3">
      <w:pPr>
        <w:pStyle w:val="Briefingtext"/>
        <w:spacing w:after="0" w:line="276" w:lineRule="auto"/>
        <w:rPr>
          <w:rFonts w:ascii="EC Square Sans Pro" w:hAnsi="EC Square Sans Pro"/>
          <w:b/>
          <w:sz w:val="28"/>
          <w:szCs w:val="28"/>
          <w14:ligatures w14:val="none"/>
        </w:rPr>
      </w:pPr>
    </w:p>
    <w:p w14:paraId="1E5CB2C5" w14:textId="77777777" w:rsidR="00B61126" w:rsidRDefault="00B61126" w:rsidP="000D72F3">
      <w:pPr>
        <w:pStyle w:val="Briefingtext"/>
        <w:spacing w:after="0" w:line="276" w:lineRule="auto"/>
        <w:rPr>
          <w:rFonts w:ascii="EC Square Sans Pro" w:hAnsi="EC Square Sans Pro"/>
          <w:b/>
          <w:sz w:val="28"/>
          <w:szCs w:val="28"/>
          <w14:ligatures w14:val="none"/>
        </w:rPr>
      </w:pPr>
    </w:p>
    <w:p w14:paraId="339E13DA" w14:textId="3B9A0272" w:rsidR="000D72F3" w:rsidRPr="0059792B" w:rsidRDefault="000D72F3" w:rsidP="000D72F3">
      <w:pPr>
        <w:pStyle w:val="Briefingtext"/>
        <w:spacing w:after="0" w:line="276" w:lineRule="auto"/>
        <w:rPr>
          <w:rFonts w:ascii="EC Square Sans Pro" w:hAnsi="EC Square Sans Pro"/>
          <w:b/>
          <w:sz w:val="28"/>
          <w:szCs w:val="28"/>
          <w14:ligatures w14:val="none"/>
        </w:rPr>
      </w:pPr>
      <w:r>
        <w:rPr>
          <w:rFonts w:ascii="EC Square Sans Pro" w:hAnsi="EC Square Sans Pro"/>
          <w:b/>
          <w:sz w:val="28"/>
          <w:szCs w:val="28"/>
        </w:rPr>
        <w:t>PACTE POUR LES COMPÉT</w:t>
      </w:r>
      <w:bookmarkStart w:id="0" w:name="_GoBack"/>
      <w:bookmarkEnd w:id="0"/>
      <w:r>
        <w:rPr>
          <w:rFonts w:ascii="EC Square Sans Pro" w:hAnsi="EC Square Sans Pro"/>
          <w:b/>
          <w:sz w:val="28"/>
          <w:szCs w:val="28"/>
        </w:rPr>
        <w:t xml:space="preserve">ENCES </w:t>
      </w:r>
    </w:p>
    <w:p w14:paraId="526C6CDC" w14:textId="77777777" w:rsidR="000D72F3" w:rsidRPr="0059792B" w:rsidRDefault="000D72F3" w:rsidP="000D72F3">
      <w:pPr>
        <w:pStyle w:val="Briefingtext"/>
        <w:spacing w:after="0" w:line="276" w:lineRule="auto"/>
        <w:rPr>
          <w:rFonts w:ascii="EC Square Sans Pro" w:hAnsi="EC Square Sans Pro"/>
          <w14:ligatures w14:val="none"/>
        </w:rPr>
      </w:pPr>
    </w:p>
    <w:p w14:paraId="24990585" w14:textId="77777777" w:rsidR="000D72F3" w:rsidRPr="0059792B" w:rsidRDefault="000D72F3" w:rsidP="000D72F3">
      <w:pPr>
        <w:pStyle w:val="Briefingtext"/>
        <w:spacing w:after="0" w:line="276" w:lineRule="auto"/>
        <w:rPr>
          <w:rFonts w:ascii="EC Square Sans Pro" w:hAnsi="EC Square Sans Pro"/>
          <w14:ligatures w14:val="none"/>
        </w:rPr>
      </w:pPr>
      <w:r>
        <w:rPr>
          <w:rFonts w:ascii="EC Square Sans Pro" w:hAnsi="EC Square Sans Pro"/>
        </w:rPr>
        <w:t>Renforcer l’action commune afin de maximiser l’impact de l’investissement dans les compétences recèle un fort potentiel. Les politiques et les actions en matière de compétences font intervenir de nombreux acteurs. Les entreprises, les travailleurs, les prestataires d’enseignement ou de formation, les autorités nationales, régionales ou locales, les chambres de commerce et les services de l’emploi comptent parmi ceux qui contribuent à faire des possibilités de perfectionnement et de reconversion professionnels une réalité. Des efforts concertés peuvent permettre d’apporter plus de clarté aux particuliers et aux entreprises tout au long de la chaîne de valeur, de réduire les coûts et de se concentrer sur les priorités.</w:t>
      </w:r>
    </w:p>
    <w:p w14:paraId="1D7591BD" w14:textId="77777777" w:rsidR="000D72F3" w:rsidRPr="0059792B" w:rsidRDefault="000D72F3" w:rsidP="000D72F3">
      <w:pPr>
        <w:pStyle w:val="Briefingtext"/>
        <w:spacing w:after="0" w:line="276" w:lineRule="auto"/>
        <w:rPr>
          <w:rFonts w:ascii="EC Square Sans Pro" w:hAnsi="EC Square Sans Pro"/>
          <w14:ligatures w14:val="none"/>
        </w:rPr>
      </w:pPr>
    </w:p>
    <w:p w14:paraId="4264D202" w14:textId="77777777" w:rsidR="000D72F3" w:rsidRPr="0059792B" w:rsidRDefault="000D72F3" w:rsidP="000D72F3">
      <w:pPr>
        <w:pStyle w:val="Briefingtext"/>
        <w:tabs>
          <w:tab w:val="left" w:pos="-31680"/>
        </w:tabs>
        <w:spacing w:before="120" w:after="0" w:line="276" w:lineRule="auto"/>
        <w:rPr>
          <w:rFonts w:ascii="EC Square Sans Pro" w:hAnsi="EC Square Sans Pro"/>
          <w14:ligatures w14:val="none"/>
        </w:rPr>
      </w:pPr>
      <w:r>
        <w:rPr>
          <w:rFonts w:ascii="EC Square Sans Pro" w:hAnsi="EC Square Sans Pro"/>
        </w:rPr>
        <w:t>Voilà pourquoi la Commission européenne lance le pacte pour les compétences: un engagement partagé et une approche commune en matière de développement des compétences. Ce pacte est solidement ancré dans les principes du socle européen des droits sociaux et soutient les objectifs du pacte vert pour l’Europe et de la transformation numérique, énoncés dans la communication de la Commission intitulée</w:t>
      </w:r>
      <w:proofErr w:type="gramStart"/>
      <w:r>
        <w:rPr>
          <w:rFonts w:ascii="EC Square Sans Pro" w:hAnsi="EC Square Sans Pro"/>
        </w:rPr>
        <w:t xml:space="preserve"> «Une</w:t>
      </w:r>
      <w:proofErr w:type="gramEnd"/>
      <w:r>
        <w:rPr>
          <w:rFonts w:ascii="EC Square Sans Pro" w:hAnsi="EC Square Sans Pro"/>
        </w:rPr>
        <w:t xml:space="preserve"> Europe sociale forte pour des transitions justes». </w:t>
      </w:r>
    </w:p>
    <w:p w14:paraId="30D9621B" w14:textId="77777777" w:rsidR="000D72F3" w:rsidRPr="0059792B" w:rsidRDefault="000D72F3" w:rsidP="000D72F3">
      <w:pPr>
        <w:pStyle w:val="Briefingtext"/>
        <w:tabs>
          <w:tab w:val="left" w:pos="-31680"/>
        </w:tabs>
        <w:spacing w:before="120" w:after="0" w:line="276" w:lineRule="auto"/>
        <w:rPr>
          <w:rFonts w:ascii="EC Square Sans Pro" w:hAnsi="EC Square Sans Pro"/>
          <w14:ligatures w14:val="none"/>
        </w:rPr>
      </w:pPr>
      <w:r>
        <w:rPr>
          <w:rFonts w:ascii="EC Square Sans Pro" w:hAnsi="EC Square Sans Pro"/>
        </w:rPr>
        <w:t xml:space="preserve">L’objet du pacte pour les compétences est de mobiliser les parties prenantes privées comme publiques et de les encourager à prendre des mesures concrètes en matière de perfectionnement et de reconversion des personnes en âge de travailler et, lorsque c’est utile, à unir leurs efforts dans le cadre de partenariats. </w:t>
      </w:r>
    </w:p>
    <w:p w14:paraId="1E95754F" w14:textId="77777777" w:rsidR="000D72F3" w:rsidRPr="0059792B" w:rsidRDefault="000D72F3" w:rsidP="000D72F3">
      <w:pPr>
        <w:pStyle w:val="Briefingtext"/>
        <w:tabs>
          <w:tab w:val="left" w:pos="-31680"/>
        </w:tabs>
        <w:spacing w:before="120" w:after="0" w:line="276" w:lineRule="auto"/>
        <w:rPr>
          <w:rFonts w:ascii="EC Square Sans Pro" w:hAnsi="EC Square Sans Pro" w:cs="Calibri"/>
          <w:b/>
        </w:rPr>
      </w:pPr>
      <w:r>
        <w:rPr>
          <w:rFonts w:ascii="EC Square Sans Pro" w:hAnsi="EC Square Sans Pro"/>
          <w:b/>
        </w:rPr>
        <w:t>Adhésion au pacte</w:t>
      </w:r>
    </w:p>
    <w:p w14:paraId="66C226D2" w14:textId="77777777" w:rsidR="000D72F3" w:rsidRPr="0059792B" w:rsidRDefault="000D72F3" w:rsidP="000D72F3">
      <w:pPr>
        <w:pStyle w:val="Briefingtext"/>
        <w:numPr>
          <w:ilvl w:val="3"/>
          <w:numId w:val="8"/>
        </w:numPr>
        <w:tabs>
          <w:tab w:val="left" w:pos="-31680"/>
        </w:tabs>
        <w:spacing w:before="120" w:after="0" w:line="276" w:lineRule="auto"/>
        <w:ind w:left="360"/>
        <w:rPr>
          <w:rFonts w:ascii="EC Square Sans Pro" w:hAnsi="EC Square Sans Pro"/>
          <w14:ligatures w14:val="none"/>
        </w:rPr>
      </w:pPr>
      <w:r>
        <w:rPr>
          <w:rFonts w:ascii="EC Square Sans Pro" w:hAnsi="EC Square Sans Pro"/>
        </w:rPr>
        <w:t xml:space="preserve">Toutes les parties prenantes adhérant au pacte signent la charte et souscrivent à ses principes clés, qu’elles s’engagent à respecter et à défendre. </w:t>
      </w:r>
    </w:p>
    <w:p w14:paraId="41583F4C" w14:textId="77777777" w:rsidR="000D72F3" w:rsidRPr="0059792B" w:rsidRDefault="000D72F3" w:rsidP="000D72F3">
      <w:pPr>
        <w:pStyle w:val="Text1"/>
        <w:numPr>
          <w:ilvl w:val="3"/>
          <w:numId w:val="8"/>
        </w:numPr>
        <w:spacing w:before="120" w:after="0" w:line="276" w:lineRule="auto"/>
        <w:ind w:left="360"/>
        <w:rPr>
          <w:rFonts w:ascii="EC Square Sans Pro" w:hAnsi="EC Square Sans Pro"/>
          <w:sz w:val="22"/>
          <w:szCs w:val="22"/>
        </w:rPr>
      </w:pPr>
      <w:r>
        <w:rPr>
          <w:rFonts w:ascii="EC Square Sans Pro" w:hAnsi="EC Square Sans Pro"/>
          <w:sz w:val="22"/>
          <w:szCs w:val="22"/>
        </w:rPr>
        <w:t xml:space="preserve">Les signataires du pacte sont invités à traduire leur engagement formel en engagements concrets dans les domaines du perfectionnement et </w:t>
      </w:r>
      <w:proofErr w:type="gramStart"/>
      <w:r>
        <w:rPr>
          <w:rFonts w:ascii="EC Square Sans Pro" w:hAnsi="EC Square Sans Pro"/>
          <w:sz w:val="22"/>
          <w:szCs w:val="22"/>
        </w:rPr>
        <w:t>de la reconversion professionnels</w:t>
      </w:r>
      <w:proofErr w:type="gramEnd"/>
      <w:r>
        <w:rPr>
          <w:rFonts w:ascii="EC Square Sans Pro" w:hAnsi="EC Square Sans Pro"/>
          <w:sz w:val="22"/>
          <w:szCs w:val="22"/>
        </w:rPr>
        <w:t>. Ces engagements concrets doivent être conformes aux principes clés et peuvent s’articuler autour de plusieurs</w:t>
      </w:r>
      <w:proofErr w:type="gramStart"/>
      <w:r>
        <w:rPr>
          <w:rFonts w:ascii="EC Square Sans Pro" w:hAnsi="EC Square Sans Pro"/>
          <w:sz w:val="22"/>
          <w:szCs w:val="22"/>
        </w:rPr>
        <w:t xml:space="preserve"> «catalyseurs</w:t>
      </w:r>
      <w:proofErr w:type="gramEnd"/>
      <w:r>
        <w:rPr>
          <w:rFonts w:ascii="EC Square Sans Pro" w:hAnsi="EC Square Sans Pro"/>
          <w:sz w:val="22"/>
          <w:szCs w:val="22"/>
        </w:rPr>
        <w:t>», qui illustrent les moyens concrets d’appliquer les différents principes.</w:t>
      </w:r>
    </w:p>
    <w:p w14:paraId="71812DDC" w14:textId="77777777" w:rsidR="000D72F3" w:rsidRPr="0059792B" w:rsidRDefault="000D72F3" w:rsidP="000D72F3">
      <w:pPr>
        <w:pStyle w:val="Text1"/>
        <w:numPr>
          <w:ilvl w:val="3"/>
          <w:numId w:val="8"/>
        </w:numPr>
        <w:spacing w:before="120" w:after="0" w:line="276" w:lineRule="auto"/>
        <w:ind w:left="360"/>
        <w:rPr>
          <w:rFonts w:ascii="EC Square Sans Pro" w:hAnsi="EC Square Sans Pro"/>
          <w:sz w:val="22"/>
          <w:szCs w:val="22"/>
        </w:rPr>
      </w:pPr>
      <w:r>
        <w:rPr>
          <w:rFonts w:ascii="EC Square Sans Pro" w:hAnsi="EC Square Sans Pro"/>
          <w:sz w:val="22"/>
          <w:szCs w:val="22"/>
        </w:rPr>
        <w:t>Le suivi des engagements est assuré à l’aide d’au moins un indicateur clé de performance, par exemple le nombre de personnes prenant part à des activités de perfectionnement ou de reconversion.</w:t>
      </w:r>
    </w:p>
    <w:p w14:paraId="03C9364E" w14:textId="77777777" w:rsidR="000D72F3" w:rsidRPr="0059792B" w:rsidRDefault="000D72F3" w:rsidP="000D72F3">
      <w:pPr>
        <w:widowControl w:val="0"/>
        <w:rPr>
          <w:rFonts w:ascii="EC Square Sans Pro" w:hAnsi="EC Square Sans Pro" w:cs="Calibri"/>
          <w:b/>
          <w:sz w:val="22"/>
          <w:szCs w:val="22"/>
        </w:rPr>
      </w:pPr>
      <w:r>
        <w:rPr>
          <w:rFonts w:ascii="Calibri" w:hAnsi="Calibri"/>
          <w:b/>
          <w:sz w:val="22"/>
          <w:szCs w:val="22"/>
        </w:rPr>
        <w:t xml:space="preserve"> </w:t>
      </w:r>
      <w:r>
        <w:rPr>
          <w:rFonts w:ascii="EC Square Sans Pro" w:hAnsi="EC Square Sans Pro"/>
          <w:b/>
          <w:sz w:val="22"/>
          <w:szCs w:val="22"/>
        </w:rPr>
        <w:t>Principes clés de la charte</w:t>
      </w:r>
    </w:p>
    <w:p w14:paraId="5934F8AB" w14:textId="77777777" w:rsidR="000D72F3" w:rsidRPr="0059792B" w:rsidRDefault="000D72F3" w:rsidP="000D72F3">
      <w:pPr>
        <w:pStyle w:val="Text1"/>
        <w:numPr>
          <w:ilvl w:val="0"/>
          <w:numId w:val="9"/>
        </w:numPr>
        <w:spacing w:before="120" w:after="0" w:line="276" w:lineRule="auto"/>
        <w:rPr>
          <w:rFonts w:ascii="EC Square Sans Pro" w:hAnsi="EC Square Sans Pro"/>
          <w:sz w:val="22"/>
          <w:szCs w:val="22"/>
        </w:rPr>
      </w:pPr>
      <w:r>
        <w:rPr>
          <w:rFonts w:ascii="EC Square Sans Pro" w:hAnsi="EC Square Sans Pro"/>
          <w:sz w:val="22"/>
          <w:szCs w:val="22"/>
        </w:rPr>
        <w:t>Promouvoir une culture de l’apprentissage tout au long de la vie pour tous</w:t>
      </w:r>
    </w:p>
    <w:p w14:paraId="6034AA03" w14:textId="77777777" w:rsidR="000D72F3" w:rsidRPr="0059792B" w:rsidRDefault="000D72F3" w:rsidP="000D72F3">
      <w:pPr>
        <w:pStyle w:val="Text1"/>
        <w:numPr>
          <w:ilvl w:val="0"/>
          <w:numId w:val="9"/>
        </w:numPr>
        <w:spacing w:after="0" w:line="276" w:lineRule="auto"/>
        <w:rPr>
          <w:rFonts w:ascii="EC Square Sans Pro" w:hAnsi="EC Square Sans Pro"/>
          <w:sz w:val="22"/>
          <w:szCs w:val="22"/>
        </w:rPr>
      </w:pPr>
      <w:r>
        <w:rPr>
          <w:rFonts w:ascii="EC Square Sans Pro" w:hAnsi="EC Square Sans Pro"/>
          <w:sz w:val="22"/>
          <w:szCs w:val="22"/>
        </w:rPr>
        <w:t>Mettre en place des partenariats solides en matière de compétences</w:t>
      </w:r>
    </w:p>
    <w:p w14:paraId="5F6B1286" w14:textId="77777777" w:rsidR="000D72F3" w:rsidRPr="0059792B" w:rsidRDefault="000D72F3" w:rsidP="000D72F3">
      <w:pPr>
        <w:pStyle w:val="Text1"/>
        <w:numPr>
          <w:ilvl w:val="0"/>
          <w:numId w:val="9"/>
        </w:numPr>
        <w:spacing w:after="0" w:line="276" w:lineRule="auto"/>
        <w:rPr>
          <w:rFonts w:ascii="EC Square Sans Pro" w:hAnsi="EC Square Sans Pro"/>
          <w:sz w:val="22"/>
          <w:szCs w:val="22"/>
        </w:rPr>
      </w:pPr>
      <w:r>
        <w:rPr>
          <w:rFonts w:ascii="EC Square Sans Pro" w:hAnsi="EC Square Sans Pro"/>
          <w:sz w:val="22"/>
          <w:szCs w:val="22"/>
        </w:rPr>
        <w:t>Suivre l’offre et la demande de compétences, et anticiper les besoins en compétences</w:t>
      </w:r>
    </w:p>
    <w:p w14:paraId="29B28BED" w14:textId="77777777" w:rsidR="000D72F3" w:rsidRPr="0059792B" w:rsidRDefault="000D72F3" w:rsidP="000D72F3">
      <w:pPr>
        <w:pStyle w:val="Text1"/>
        <w:numPr>
          <w:ilvl w:val="0"/>
          <w:numId w:val="9"/>
        </w:numPr>
        <w:spacing w:after="0" w:line="276" w:lineRule="auto"/>
        <w:rPr>
          <w:rFonts w:ascii="EC Square Sans Pro" w:hAnsi="EC Square Sans Pro"/>
          <w:sz w:val="22"/>
          <w:szCs w:val="22"/>
        </w:rPr>
      </w:pPr>
      <w:r>
        <w:rPr>
          <w:rFonts w:ascii="EC Square Sans Pro" w:hAnsi="EC Square Sans Pro"/>
          <w:sz w:val="22"/>
          <w:szCs w:val="22"/>
        </w:rPr>
        <w:t>Lutter contre les discriminations et pour l’égalité hommes-femmes et l’égalité des chances</w:t>
      </w:r>
    </w:p>
    <w:p w14:paraId="41AED67E" w14:textId="77777777" w:rsidR="000D72F3" w:rsidRPr="0059792B" w:rsidRDefault="000D72F3" w:rsidP="000D72F3">
      <w:pPr>
        <w:widowControl w:val="0"/>
        <w:rPr>
          <w:rFonts w:ascii="EC Square Sans Pro" w:hAnsi="EC Square Sans Pro" w:cs="Calibri"/>
          <w:b/>
          <w:sz w:val="22"/>
          <w:szCs w:val="22"/>
        </w:rPr>
      </w:pPr>
      <w:r>
        <w:rPr>
          <w:rFonts w:ascii="EC Square Sans Pro" w:hAnsi="EC Square Sans Pro"/>
          <w:b/>
          <w:sz w:val="22"/>
          <w:szCs w:val="22"/>
        </w:rPr>
        <w:t>Le pacte peut être mis en œuvre:</w:t>
      </w:r>
    </w:p>
    <w:p w14:paraId="6B677FFB" w14:textId="77777777" w:rsidR="000D72F3" w:rsidRPr="0059792B" w:rsidRDefault="000D72F3" w:rsidP="000D72F3">
      <w:pPr>
        <w:pStyle w:val="Text1"/>
        <w:numPr>
          <w:ilvl w:val="0"/>
          <w:numId w:val="10"/>
        </w:numPr>
        <w:spacing w:before="120" w:after="0" w:line="276" w:lineRule="auto"/>
        <w:rPr>
          <w:rFonts w:ascii="EC Square Sans Pro" w:hAnsi="EC Square Sans Pro"/>
          <w:sz w:val="22"/>
          <w:szCs w:val="22"/>
        </w:rPr>
      </w:pPr>
      <w:r>
        <w:rPr>
          <w:rFonts w:ascii="EC Square Sans Pro" w:hAnsi="EC Square Sans Pro"/>
          <w:sz w:val="22"/>
          <w:szCs w:val="22"/>
        </w:rPr>
        <w:t>Par des entreprises ou d’autres organisations, privées ou publiques</w:t>
      </w:r>
    </w:p>
    <w:p w14:paraId="7CA5A2B6" w14:textId="77777777" w:rsidR="000D72F3" w:rsidRPr="0059792B" w:rsidRDefault="000D72F3" w:rsidP="000D72F3">
      <w:pPr>
        <w:pStyle w:val="Text1"/>
        <w:numPr>
          <w:ilvl w:val="0"/>
          <w:numId w:val="10"/>
        </w:numPr>
        <w:spacing w:after="0" w:line="276" w:lineRule="auto"/>
        <w:rPr>
          <w:rFonts w:ascii="EC Square Sans Pro" w:hAnsi="EC Square Sans Pro"/>
          <w:sz w:val="22"/>
          <w:szCs w:val="22"/>
        </w:rPr>
      </w:pPr>
      <w:r>
        <w:rPr>
          <w:rFonts w:ascii="EC Square Sans Pro" w:hAnsi="EC Square Sans Pro"/>
          <w:sz w:val="22"/>
          <w:szCs w:val="22"/>
        </w:rPr>
        <w:t>Au moyen de partenariats régionaux ou locaux</w:t>
      </w:r>
    </w:p>
    <w:p w14:paraId="79601AEC" w14:textId="77777777" w:rsidR="000D72F3" w:rsidRPr="0059792B" w:rsidRDefault="000D72F3" w:rsidP="000D72F3">
      <w:pPr>
        <w:pStyle w:val="Text1"/>
        <w:numPr>
          <w:ilvl w:val="0"/>
          <w:numId w:val="10"/>
        </w:numPr>
        <w:spacing w:after="0" w:line="276" w:lineRule="auto"/>
        <w:rPr>
          <w:rFonts w:ascii="EC Square Sans Pro" w:hAnsi="EC Square Sans Pro"/>
          <w:sz w:val="22"/>
          <w:szCs w:val="22"/>
        </w:rPr>
      </w:pPr>
      <w:r>
        <w:rPr>
          <w:rFonts w:ascii="EC Square Sans Pro" w:hAnsi="EC Square Sans Pro"/>
          <w:sz w:val="22"/>
          <w:szCs w:val="22"/>
        </w:rPr>
        <w:t>Au moyen de partenariats industriels ou intersectoriels</w:t>
      </w:r>
    </w:p>
    <w:p w14:paraId="76F5C4D8" w14:textId="77777777" w:rsidR="000D72F3" w:rsidRPr="0059792B" w:rsidRDefault="000D72F3" w:rsidP="000D72F3">
      <w:pPr>
        <w:pStyle w:val="Text1"/>
        <w:spacing w:before="120" w:after="0" w:line="276" w:lineRule="auto"/>
        <w:ind w:left="0"/>
        <w:rPr>
          <w:rFonts w:ascii="EC Square Sans Pro" w:hAnsi="EC Square Sans Pro"/>
          <w:sz w:val="22"/>
          <w:szCs w:val="22"/>
        </w:rPr>
      </w:pPr>
      <w:r>
        <w:rPr>
          <w:rFonts w:ascii="EC Square Sans Pro" w:hAnsi="EC Square Sans Pro"/>
          <w:b/>
          <w:sz w:val="22"/>
          <w:szCs w:val="22"/>
        </w:rPr>
        <w:t>Soutien au titre du pacte</w:t>
      </w:r>
    </w:p>
    <w:p w14:paraId="4D8D8F13" w14:textId="77777777" w:rsidR="000D72F3" w:rsidRPr="0059792B" w:rsidRDefault="000D72F3" w:rsidP="000D72F3">
      <w:pPr>
        <w:pStyle w:val="Text1"/>
        <w:spacing w:before="120" w:line="276" w:lineRule="auto"/>
        <w:ind w:left="0"/>
        <w:rPr>
          <w:rFonts w:ascii="EC Square Sans Pro" w:hAnsi="EC Square Sans Pro" w:cs="Calibri"/>
          <w:bCs/>
          <w:sz w:val="22"/>
          <w:szCs w:val="22"/>
        </w:rPr>
      </w:pPr>
      <w:r>
        <w:rPr>
          <w:rFonts w:ascii="EC Square Sans Pro" w:hAnsi="EC Square Sans Pro"/>
          <w:bCs/>
          <w:sz w:val="22"/>
          <w:szCs w:val="22"/>
        </w:rPr>
        <w:t>À partir de 2021, la Commission soutiendra les signataires du pacte par des services ad hoc:</w:t>
      </w:r>
    </w:p>
    <w:p w14:paraId="4AB6A870" w14:textId="77777777" w:rsidR="000D72F3" w:rsidRPr="0059792B" w:rsidRDefault="000D72F3" w:rsidP="000D72F3">
      <w:pPr>
        <w:pStyle w:val="Text1"/>
        <w:numPr>
          <w:ilvl w:val="0"/>
          <w:numId w:val="11"/>
        </w:numPr>
        <w:spacing w:before="120" w:after="0" w:line="276" w:lineRule="auto"/>
        <w:rPr>
          <w:rFonts w:ascii="EC Square Sans Pro" w:hAnsi="EC Square Sans Pro" w:cs="Calibri"/>
          <w:bCs/>
          <w:sz w:val="22"/>
          <w:szCs w:val="22"/>
        </w:rPr>
      </w:pPr>
      <w:r>
        <w:rPr>
          <w:rFonts w:ascii="EC Square Sans Pro" w:hAnsi="EC Square Sans Pro"/>
          <w:b/>
          <w:sz w:val="22"/>
          <w:szCs w:val="22"/>
        </w:rPr>
        <w:t>Plateforme</w:t>
      </w:r>
      <w:r>
        <w:rPr>
          <w:rFonts w:ascii="EC Square Sans Pro" w:hAnsi="EC Square Sans Pro"/>
          <w:b/>
          <w:bCs/>
          <w:sz w:val="22"/>
          <w:szCs w:val="22"/>
        </w:rPr>
        <w:t xml:space="preserve"> de mise en réseau</w:t>
      </w:r>
      <w:r>
        <w:rPr>
          <w:rFonts w:ascii="EC Square Sans Pro" w:hAnsi="EC Square Sans Pro"/>
          <w:bCs/>
          <w:sz w:val="22"/>
          <w:szCs w:val="22"/>
        </w:rPr>
        <w:t xml:space="preserve"> – aide à la recherche de partenaires et à l’organisation des premières réunions de partenariat; liaison avec les outils existants de l’Union, par exemple Europass, le panorama européen des compétences, EURES et le réseau européen des services publics de l’emploi; promotion des activités des membres du pacte.</w:t>
      </w:r>
    </w:p>
    <w:p w14:paraId="5C68B70A" w14:textId="77777777" w:rsidR="000D72F3" w:rsidRPr="0059792B" w:rsidRDefault="000D72F3" w:rsidP="000D72F3">
      <w:pPr>
        <w:pStyle w:val="Text1"/>
        <w:numPr>
          <w:ilvl w:val="0"/>
          <w:numId w:val="11"/>
        </w:numPr>
        <w:spacing w:before="120" w:after="0" w:line="276" w:lineRule="auto"/>
        <w:rPr>
          <w:rFonts w:ascii="EC Square Sans Pro" w:hAnsi="EC Square Sans Pro" w:cs="Calibri"/>
          <w:bCs/>
          <w:sz w:val="22"/>
          <w:szCs w:val="22"/>
        </w:rPr>
      </w:pPr>
      <w:r>
        <w:rPr>
          <w:rFonts w:ascii="EC Square Sans Pro" w:hAnsi="EC Square Sans Pro"/>
          <w:b/>
          <w:sz w:val="22"/>
          <w:szCs w:val="22"/>
        </w:rPr>
        <w:t>Plateforme</w:t>
      </w:r>
      <w:r>
        <w:rPr>
          <w:rFonts w:ascii="EC Square Sans Pro" w:hAnsi="EC Square Sans Pro"/>
          <w:b/>
          <w:bCs/>
          <w:sz w:val="22"/>
          <w:szCs w:val="22"/>
        </w:rPr>
        <w:t xml:space="preserve"> de connaissances</w:t>
      </w:r>
      <w:r>
        <w:rPr>
          <w:rFonts w:ascii="EC Square Sans Pro" w:hAnsi="EC Square Sans Pro"/>
          <w:bCs/>
          <w:sz w:val="22"/>
          <w:szCs w:val="22"/>
        </w:rPr>
        <w:t xml:space="preserve"> – organisation de webinaires, de séminaires et d’activités d’apprentissage entre pairs; actualité des politiques et instruments de l’Union; information sur les projets, outils, instruments et bonnes pratiques.</w:t>
      </w:r>
    </w:p>
    <w:p w14:paraId="3842D91E" w14:textId="77777777" w:rsidR="000D72F3" w:rsidRPr="0059792B" w:rsidRDefault="000D72F3" w:rsidP="000D72F3">
      <w:pPr>
        <w:pStyle w:val="Text1"/>
        <w:numPr>
          <w:ilvl w:val="0"/>
          <w:numId w:val="11"/>
        </w:numPr>
        <w:spacing w:before="120" w:after="0" w:line="276" w:lineRule="auto"/>
        <w:rPr>
          <w:rFonts w:ascii="EC Square Sans Pro" w:hAnsi="EC Square Sans Pro" w:cs="Calibri"/>
          <w:bCs/>
          <w:sz w:val="22"/>
          <w:szCs w:val="22"/>
        </w:rPr>
      </w:pPr>
      <w:r>
        <w:rPr>
          <w:rFonts w:ascii="EC Square Sans Pro" w:hAnsi="EC Square Sans Pro"/>
          <w:b/>
          <w:sz w:val="22"/>
          <w:szCs w:val="22"/>
        </w:rPr>
        <w:t>Plateforme</w:t>
      </w:r>
      <w:r>
        <w:rPr>
          <w:rFonts w:ascii="EC Square Sans Pro" w:hAnsi="EC Square Sans Pro"/>
          <w:b/>
          <w:bCs/>
          <w:sz w:val="22"/>
          <w:szCs w:val="22"/>
        </w:rPr>
        <w:t xml:space="preserve"> d’orientation et de ressources</w:t>
      </w:r>
      <w:r>
        <w:rPr>
          <w:rFonts w:ascii="EC Square Sans Pro" w:hAnsi="EC Square Sans Pro"/>
          <w:bCs/>
          <w:sz w:val="22"/>
          <w:szCs w:val="22"/>
        </w:rPr>
        <w:t xml:space="preserve"> – accès à des informations sur les financements pertinents de l’Union; conseils pour la recherche de possibilités financières; facilitation des échanges entre les membres du pacte et les autorités nationales ou régionales.</w:t>
      </w:r>
    </w:p>
    <w:p w14:paraId="77902F9C" w14:textId="77777777" w:rsidR="000D72F3" w:rsidRPr="00007FB5" w:rsidRDefault="000D72F3" w:rsidP="000D72F3">
      <w:pPr>
        <w:pStyle w:val="Text1"/>
        <w:spacing w:before="120" w:after="0" w:line="276" w:lineRule="auto"/>
        <w:ind w:left="0" w:right="113"/>
        <w:rPr>
          <w:rFonts w:ascii="EC Square Sans Pro" w:hAnsi="EC Square Sans Pro" w:cstheme="minorHAnsi"/>
          <w:sz w:val="22"/>
          <w:szCs w:val="22"/>
        </w:rPr>
      </w:pPr>
      <w:r>
        <w:rPr>
          <w:rFonts w:ascii="EC Square Sans Pro" w:hAnsi="EC Square Sans Pro"/>
          <w:bCs/>
          <w:sz w:val="22"/>
          <w:szCs w:val="22"/>
        </w:rPr>
        <w:t>Les instruments de financement global de l’Union, plus précisément la facilité pour la reprise et la résilience et les instruments de financement pertinents au titre du cadre financier pluriannuel 2021-2027</w:t>
      </w:r>
      <w:r>
        <w:rPr>
          <w:rStyle w:val="FootnoteReference"/>
          <w:rFonts w:ascii="EC Square Sans Pro" w:hAnsi="EC Square Sans Pro" w:cs="Calibri"/>
          <w:bCs/>
          <w:sz w:val="22"/>
          <w:szCs w:val="22"/>
        </w:rPr>
        <w:footnoteReference w:id="2"/>
      </w:r>
      <w:r>
        <w:rPr>
          <w:rFonts w:ascii="EC Square Sans Pro" w:hAnsi="EC Square Sans Pro"/>
          <w:bCs/>
          <w:sz w:val="22"/>
          <w:szCs w:val="22"/>
        </w:rPr>
        <w:t>, peuvent soutenir le pacte. Il convient de les utiliser pleinement.</w:t>
      </w:r>
    </w:p>
    <w:p w14:paraId="3491745F" w14:textId="77777777" w:rsidR="000D72F3" w:rsidRDefault="000D72F3">
      <w:pPr>
        <w:spacing w:before="0" w:after="0"/>
        <w:jc w:val="left"/>
        <w:rPr>
          <w:rFonts w:ascii="EC Square Sans Pro" w:hAnsi="EC Square Sans Pro" w:cstheme="minorHAnsi"/>
          <w:b/>
          <w:sz w:val="28"/>
          <w:szCs w:val="28"/>
        </w:rPr>
      </w:pPr>
      <w:r>
        <w:br w:type="page"/>
      </w:r>
    </w:p>
    <w:p w14:paraId="2A1561AC" w14:textId="4BA50737" w:rsidR="000D72F3" w:rsidRDefault="000D72F3" w:rsidP="000D72F3">
      <w:pPr>
        <w:pStyle w:val="Text1"/>
        <w:spacing w:before="120" w:after="0" w:line="276" w:lineRule="auto"/>
        <w:ind w:left="0"/>
        <w:jc w:val="center"/>
        <w:rPr>
          <w:rFonts w:ascii="EC Square Sans Pro" w:hAnsi="EC Square Sans Pro" w:cstheme="minorHAnsi"/>
          <w:b/>
          <w:sz w:val="28"/>
          <w:szCs w:val="28"/>
        </w:rPr>
      </w:pPr>
      <w:r>
        <w:rPr>
          <w:rFonts w:ascii="EC Square Sans Pro" w:hAnsi="EC Square Sans Pro"/>
          <w:b/>
          <w:sz w:val="28"/>
          <w:szCs w:val="28"/>
        </w:rPr>
        <w:t>CHARTE</w:t>
      </w:r>
    </w:p>
    <w:p w14:paraId="1C6F0AF6" w14:textId="1C920D4F" w:rsidR="002E3766" w:rsidRPr="0059792B" w:rsidRDefault="00C82E8D" w:rsidP="00610108">
      <w:pPr>
        <w:pStyle w:val="Text1"/>
        <w:spacing w:before="120" w:after="0" w:line="276" w:lineRule="auto"/>
        <w:ind w:left="0"/>
        <w:rPr>
          <w:rFonts w:ascii="EC Square Sans Pro" w:hAnsi="EC Square Sans Pro" w:cstheme="minorHAnsi"/>
          <w:b/>
          <w:sz w:val="28"/>
          <w:szCs w:val="28"/>
        </w:rPr>
      </w:pPr>
      <w:r>
        <w:rPr>
          <w:rFonts w:ascii="EC Square Sans Pro" w:hAnsi="EC Square Sans Pro"/>
          <w:b/>
          <w:sz w:val="28"/>
          <w:szCs w:val="28"/>
        </w:rPr>
        <w:t>PRÉAMBULE</w:t>
      </w:r>
    </w:p>
    <w:p w14:paraId="1E55824E" w14:textId="2680106D" w:rsidR="001A1133" w:rsidRDefault="001A1133" w:rsidP="00610108">
      <w:pPr>
        <w:pStyle w:val="Text1"/>
        <w:spacing w:before="120" w:after="0" w:line="276" w:lineRule="auto"/>
        <w:ind w:left="0"/>
        <w:rPr>
          <w:ins w:id="1" w:author="Author"/>
          <w:rFonts w:ascii="EC Square Sans Pro" w:hAnsi="EC Square Sans Pro" w:cstheme="minorHAnsi"/>
          <w:sz w:val="22"/>
          <w:szCs w:val="22"/>
        </w:rPr>
      </w:pPr>
      <w:r>
        <w:rPr>
          <w:rFonts w:ascii="EC Square Sans Pro" w:hAnsi="EC Square Sans Pro"/>
          <w:sz w:val="22"/>
          <w:szCs w:val="22"/>
        </w:rPr>
        <w:t xml:space="preserve">Vu le </w:t>
      </w:r>
      <w:r>
        <w:rPr>
          <w:rFonts w:ascii="EC Square Sans Pro" w:hAnsi="EC Square Sans Pro"/>
          <w:b/>
          <w:sz w:val="22"/>
          <w:szCs w:val="22"/>
        </w:rPr>
        <w:t>socle européen des droits sociaux</w:t>
      </w:r>
      <w:r>
        <w:rPr>
          <w:rFonts w:ascii="EC Square Sans Pro" w:hAnsi="EC Square Sans Pro"/>
          <w:sz w:val="22"/>
          <w:szCs w:val="22"/>
        </w:rPr>
        <w:t>, qui constitue la boussole de l’Union européenne pour une reprise sociale et inclusive ainsi que pour des transitions justes vers la neutralité climatique et une Europe numérique,</w:t>
      </w:r>
    </w:p>
    <w:p w14:paraId="5E808EE4" w14:textId="402D9D56" w:rsidR="00F17B01" w:rsidRPr="0059792B" w:rsidRDefault="0034151C" w:rsidP="00610108">
      <w:pPr>
        <w:pStyle w:val="Text1"/>
        <w:spacing w:before="120" w:after="0" w:line="276" w:lineRule="auto"/>
        <w:ind w:left="0"/>
        <w:rPr>
          <w:rFonts w:ascii="EC Square Sans Pro" w:hAnsi="EC Square Sans Pro" w:cstheme="minorHAnsi"/>
          <w:sz w:val="22"/>
          <w:szCs w:val="22"/>
        </w:rPr>
      </w:pPr>
      <w:proofErr w:type="gramStart"/>
      <w:r>
        <w:rPr>
          <w:rFonts w:ascii="EC Square Sans Pro" w:hAnsi="EC Square Sans Pro"/>
          <w:sz w:val="22"/>
          <w:szCs w:val="22"/>
        </w:rPr>
        <w:t>reconnaissant</w:t>
      </w:r>
      <w:proofErr w:type="gramEnd"/>
      <w:r>
        <w:rPr>
          <w:rFonts w:ascii="EC Square Sans Pro" w:hAnsi="EC Square Sans Pro"/>
          <w:sz w:val="22"/>
          <w:szCs w:val="22"/>
        </w:rPr>
        <w:t xml:space="preserve"> que l’</w:t>
      </w:r>
      <w:r>
        <w:rPr>
          <w:rFonts w:ascii="EC Square Sans Pro" w:hAnsi="EC Square Sans Pro"/>
          <w:b/>
          <w:sz w:val="22"/>
          <w:szCs w:val="22"/>
        </w:rPr>
        <w:t>économie numérique</w:t>
      </w:r>
      <w:r>
        <w:rPr>
          <w:rFonts w:ascii="EC Square Sans Pro" w:hAnsi="EC Square Sans Pro"/>
          <w:sz w:val="22"/>
          <w:szCs w:val="22"/>
        </w:rPr>
        <w:t xml:space="preserve"> d’aujourd’hui et de demain doit être centrée sur les personnes,</w:t>
      </w:r>
    </w:p>
    <w:p w14:paraId="133317F9" w14:textId="2DF09309" w:rsidR="00F17B01" w:rsidRPr="0059792B" w:rsidRDefault="00F17B01" w:rsidP="00610108">
      <w:pPr>
        <w:pStyle w:val="Text1"/>
        <w:spacing w:before="120" w:after="0" w:line="276" w:lineRule="auto"/>
        <w:ind w:left="0"/>
        <w:rPr>
          <w:rFonts w:ascii="EC Square Sans Pro" w:hAnsi="EC Square Sans Pro" w:cstheme="minorHAnsi"/>
          <w:sz w:val="22"/>
          <w:szCs w:val="22"/>
        </w:rPr>
      </w:pPr>
      <w:proofErr w:type="gramStart"/>
      <w:r>
        <w:rPr>
          <w:rFonts w:ascii="EC Square Sans Pro" w:hAnsi="EC Square Sans Pro"/>
          <w:sz w:val="22"/>
          <w:szCs w:val="22"/>
        </w:rPr>
        <w:t>rappelant</w:t>
      </w:r>
      <w:proofErr w:type="gramEnd"/>
      <w:r>
        <w:rPr>
          <w:rFonts w:ascii="EC Square Sans Pro" w:hAnsi="EC Square Sans Pro"/>
          <w:sz w:val="22"/>
          <w:szCs w:val="22"/>
        </w:rPr>
        <w:t xml:space="preserve"> que, avec le </w:t>
      </w:r>
      <w:r>
        <w:rPr>
          <w:rFonts w:ascii="EC Square Sans Pro" w:hAnsi="EC Square Sans Pro"/>
          <w:b/>
          <w:sz w:val="22"/>
          <w:szCs w:val="22"/>
        </w:rPr>
        <w:t>pacte vert pour l’Europe</w:t>
      </w:r>
      <w:r>
        <w:rPr>
          <w:rFonts w:ascii="EC Square Sans Pro" w:hAnsi="EC Square Sans Pro"/>
          <w:sz w:val="22"/>
          <w:szCs w:val="22"/>
        </w:rPr>
        <w:t>, l’Europe a annoncé son ambition de devenir le premier continent neutre sur le plan climatique d’ici à 2050,</w:t>
      </w:r>
    </w:p>
    <w:p w14:paraId="4EF65972" w14:textId="7A984839" w:rsidR="00F17B01" w:rsidRPr="0059792B" w:rsidRDefault="00F17B01" w:rsidP="00610108">
      <w:pPr>
        <w:pStyle w:val="Text1"/>
        <w:spacing w:before="120" w:after="0" w:line="276" w:lineRule="auto"/>
        <w:ind w:left="0"/>
        <w:rPr>
          <w:rFonts w:ascii="EC Square Sans Pro" w:hAnsi="EC Square Sans Pro" w:cstheme="minorHAnsi"/>
          <w:sz w:val="22"/>
          <w:szCs w:val="22"/>
        </w:rPr>
      </w:pPr>
      <w:proofErr w:type="gramStart"/>
      <w:r>
        <w:rPr>
          <w:rFonts w:ascii="EC Square Sans Pro" w:hAnsi="EC Square Sans Pro"/>
          <w:sz w:val="22"/>
          <w:szCs w:val="22"/>
        </w:rPr>
        <w:t>soutenant</w:t>
      </w:r>
      <w:proofErr w:type="gramEnd"/>
      <w:r>
        <w:rPr>
          <w:rFonts w:ascii="EC Square Sans Pro" w:hAnsi="EC Square Sans Pro"/>
          <w:sz w:val="22"/>
          <w:szCs w:val="22"/>
        </w:rPr>
        <w:t xml:space="preserve"> la </w:t>
      </w:r>
      <w:r>
        <w:rPr>
          <w:rFonts w:ascii="EC Square Sans Pro" w:hAnsi="EC Square Sans Pro"/>
          <w:b/>
          <w:sz w:val="22"/>
          <w:szCs w:val="22"/>
        </w:rPr>
        <w:t>stratégie industrielle</w:t>
      </w:r>
      <w:r>
        <w:rPr>
          <w:rFonts w:ascii="EC Square Sans Pro" w:hAnsi="EC Square Sans Pro"/>
          <w:sz w:val="22"/>
          <w:szCs w:val="22"/>
        </w:rPr>
        <w:t xml:space="preserve"> et la </w:t>
      </w:r>
      <w:r>
        <w:rPr>
          <w:rFonts w:ascii="EC Square Sans Pro" w:hAnsi="EC Square Sans Pro"/>
          <w:b/>
          <w:sz w:val="22"/>
          <w:szCs w:val="22"/>
        </w:rPr>
        <w:t>stratégie axée sur les PME</w:t>
      </w:r>
      <w:r>
        <w:rPr>
          <w:rFonts w:ascii="EC Square Sans Pro" w:hAnsi="EC Square Sans Pro"/>
          <w:sz w:val="22"/>
          <w:szCs w:val="22"/>
        </w:rPr>
        <w:t>, fortement ancrées dans le marché unique, et qui permettront aux entreprises d’innover et de mettre au point de nouvelles technologies, en stimulant la circularité et en créant de nouveaux marchés,</w:t>
      </w:r>
    </w:p>
    <w:p w14:paraId="04E5A792" w14:textId="77777777" w:rsidR="00DB3BD1" w:rsidRPr="0059792B" w:rsidRDefault="00DB3BD1" w:rsidP="00DB3BD1">
      <w:pPr>
        <w:pStyle w:val="Text1"/>
        <w:spacing w:before="120" w:after="0" w:line="276" w:lineRule="auto"/>
        <w:ind w:left="0"/>
        <w:rPr>
          <w:rFonts w:ascii="EC Square Sans Pro" w:hAnsi="EC Square Sans Pro" w:cstheme="minorHAnsi"/>
          <w:sz w:val="22"/>
          <w:szCs w:val="22"/>
        </w:rPr>
      </w:pPr>
      <w:proofErr w:type="gramStart"/>
      <w:r>
        <w:rPr>
          <w:rFonts w:ascii="EC Square Sans Pro" w:hAnsi="EC Square Sans Pro"/>
          <w:sz w:val="22"/>
          <w:szCs w:val="22"/>
        </w:rPr>
        <w:t>fermement</w:t>
      </w:r>
      <w:proofErr w:type="gramEnd"/>
      <w:r>
        <w:rPr>
          <w:rFonts w:ascii="EC Square Sans Pro" w:hAnsi="EC Square Sans Pro"/>
          <w:sz w:val="22"/>
          <w:szCs w:val="22"/>
        </w:rPr>
        <w:t xml:space="preserve"> convaincus que les compétences sont essentielles pour permettre tant aux personnes qu’aux entreprises de libérer des possibilités d’emplois plus nombreux et de meilleure qualité, ainsi que de croissance et de compétitivité, comme indiqué dans la </w:t>
      </w:r>
      <w:r>
        <w:rPr>
          <w:rFonts w:ascii="EC Square Sans Pro" w:hAnsi="EC Square Sans Pro"/>
          <w:b/>
          <w:sz w:val="22"/>
          <w:szCs w:val="22"/>
        </w:rPr>
        <w:t>stratégie européenne en matière de compétences</w:t>
      </w:r>
      <w:r>
        <w:rPr>
          <w:rFonts w:ascii="EC Square Sans Pro" w:hAnsi="EC Square Sans Pro"/>
          <w:sz w:val="22"/>
          <w:szCs w:val="22"/>
        </w:rPr>
        <w:t xml:space="preserve"> en faveur de la compétitivité durable, de l’équité sociale et de la résilience, </w:t>
      </w:r>
    </w:p>
    <w:p w14:paraId="3EA00EB9" w14:textId="08100852" w:rsidR="00940BD0" w:rsidRDefault="00940BD0" w:rsidP="00610108">
      <w:pPr>
        <w:pStyle w:val="Text1"/>
        <w:spacing w:before="120" w:after="0" w:line="276" w:lineRule="auto"/>
        <w:ind w:left="0"/>
        <w:rPr>
          <w:rFonts w:ascii="EC Square Sans Pro" w:hAnsi="EC Square Sans Pro" w:cstheme="minorHAnsi"/>
          <w:sz w:val="22"/>
          <w:szCs w:val="22"/>
        </w:rPr>
      </w:pPr>
      <w:proofErr w:type="gramStart"/>
      <w:r>
        <w:rPr>
          <w:rFonts w:ascii="EC Square Sans Pro" w:hAnsi="EC Square Sans Pro"/>
          <w:sz w:val="22"/>
          <w:szCs w:val="22"/>
        </w:rPr>
        <w:t>conscients</w:t>
      </w:r>
      <w:proofErr w:type="gramEnd"/>
      <w:r>
        <w:rPr>
          <w:rFonts w:ascii="EC Square Sans Pro" w:hAnsi="EC Square Sans Pro"/>
          <w:sz w:val="22"/>
          <w:szCs w:val="22"/>
        </w:rPr>
        <w:t xml:space="preserve"> de l’importance du rôle que jouent les entreprises et les partenaires sociaux dans l’identification des besoins en compétences et le soutien au développement des compétences pertinentes,</w:t>
      </w:r>
    </w:p>
    <w:p w14:paraId="55E6A4DF" w14:textId="68E35914" w:rsidR="00780965" w:rsidRPr="0059792B" w:rsidRDefault="00780965" w:rsidP="00610108">
      <w:pPr>
        <w:pStyle w:val="Text1"/>
        <w:spacing w:before="120" w:after="0" w:line="276" w:lineRule="auto"/>
        <w:ind w:left="0"/>
        <w:rPr>
          <w:rFonts w:ascii="EC Square Sans Pro" w:hAnsi="EC Square Sans Pro" w:cstheme="minorHAnsi"/>
          <w:sz w:val="22"/>
          <w:szCs w:val="22"/>
        </w:rPr>
      </w:pPr>
      <w:proofErr w:type="gramStart"/>
      <w:r>
        <w:rPr>
          <w:rFonts w:ascii="EC Square Sans Pro" w:hAnsi="EC Square Sans Pro"/>
          <w:sz w:val="22"/>
          <w:szCs w:val="22"/>
        </w:rPr>
        <w:t>soulignant</w:t>
      </w:r>
      <w:proofErr w:type="gramEnd"/>
      <w:r>
        <w:rPr>
          <w:rFonts w:ascii="EC Square Sans Pro" w:hAnsi="EC Square Sans Pro"/>
          <w:sz w:val="22"/>
          <w:szCs w:val="22"/>
        </w:rPr>
        <w:t xml:space="preserve"> que le dialogue social contribue, de façon importante, à la réussite du perfectionnement et de la reconversion professionnels en Europe, et respectant pleinement les systèmes nationaux ainsi que le rôle des partenaires sociaux et des conventions collectives,</w:t>
      </w:r>
    </w:p>
    <w:p w14:paraId="44B30350" w14:textId="5C8315D9" w:rsidR="0080312A" w:rsidRPr="0059792B" w:rsidRDefault="00AE6569" w:rsidP="00610108">
      <w:pPr>
        <w:pStyle w:val="Text1"/>
        <w:spacing w:before="120" w:after="0" w:line="276" w:lineRule="auto"/>
        <w:ind w:left="0"/>
        <w:rPr>
          <w:rFonts w:ascii="EC Square Sans Pro" w:hAnsi="EC Square Sans Pro" w:cstheme="minorHAnsi"/>
          <w:sz w:val="22"/>
          <w:szCs w:val="22"/>
        </w:rPr>
      </w:pPr>
      <w:proofErr w:type="gramStart"/>
      <w:r>
        <w:rPr>
          <w:rFonts w:ascii="EC Square Sans Pro" w:hAnsi="EC Square Sans Pro"/>
          <w:sz w:val="22"/>
          <w:szCs w:val="22"/>
        </w:rPr>
        <w:t>soulignant</w:t>
      </w:r>
      <w:proofErr w:type="gramEnd"/>
      <w:r>
        <w:rPr>
          <w:rFonts w:ascii="EC Square Sans Pro" w:hAnsi="EC Square Sans Pro"/>
          <w:sz w:val="22"/>
          <w:szCs w:val="22"/>
        </w:rPr>
        <w:t xml:space="preserve"> les bienfaits de la coopération et des échanges entre ou parmi les entreprises, les travailleurs et les collectivités régionales ou locales,</w:t>
      </w:r>
    </w:p>
    <w:p w14:paraId="476199EA" w14:textId="4E273BD0" w:rsidR="002E3766" w:rsidRPr="0059792B" w:rsidRDefault="003A2765" w:rsidP="00610108">
      <w:pPr>
        <w:pStyle w:val="Text1"/>
        <w:spacing w:before="120" w:after="0" w:line="276" w:lineRule="auto"/>
        <w:ind w:left="0"/>
        <w:rPr>
          <w:rFonts w:ascii="EC Square Sans Pro" w:hAnsi="EC Square Sans Pro" w:cstheme="minorHAnsi"/>
          <w:sz w:val="22"/>
          <w:szCs w:val="22"/>
        </w:rPr>
      </w:pPr>
      <w:proofErr w:type="gramStart"/>
      <w:r>
        <w:rPr>
          <w:rFonts w:ascii="EC Square Sans Pro" w:hAnsi="EC Square Sans Pro"/>
          <w:sz w:val="22"/>
          <w:szCs w:val="22"/>
        </w:rPr>
        <w:t>reconnaissant</w:t>
      </w:r>
      <w:proofErr w:type="gramEnd"/>
      <w:r>
        <w:rPr>
          <w:rFonts w:ascii="EC Square Sans Pro" w:hAnsi="EC Square Sans Pro"/>
          <w:sz w:val="22"/>
          <w:szCs w:val="22"/>
        </w:rPr>
        <w:t xml:space="preserve"> que la pandémie de COVID-19 </w:t>
      </w:r>
      <w:proofErr w:type="spellStart"/>
      <w:r>
        <w:rPr>
          <w:rFonts w:ascii="EC Square Sans Pro" w:hAnsi="EC Square Sans Pro"/>
          <w:sz w:val="22"/>
          <w:szCs w:val="22"/>
        </w:rPr>
        <w:t>a</w:t>
      </w:r>
      <w:proofErr w:type="spellEnd"/>
      <w:r>
        <w:rPr>
          <w:rFonts w:ascii="EC Square Sans Pro" w:hAnsi="EC Square Sans Pro"/>
          <w:sz w:val="22"/>
          <w:szCs w:val="22"/>
        </w:rPr>
        <w:t xml:space="preserve"> de lourdes conséquences sur nos sociétés et nos économies, ce qui montre l’importance de la solidarité de l’Union et d’une action rapide en vue d’une reprise équitable et résiliente, </w:t>
      </w:r>
    </w:p>
    <w:p w14:paraId="2E3800BA" w14:textId="1F648D91" w:rsidR="002E3766" w:rsidRPr="0059792B" w:rsidRDefault="002E3766"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b/>
          <w:sz w:val="22"/>
          <w:szCs w:val="22"/>
        </w:rPr>
        <w:t>Nous nous réjouissons</w:t>
      </w:r>
      <w:r>
        <w:rPr>
          <w:rFonts w:ascii="EC Square Sans Pro" w:hAnsi="EC Square Sans Pro"/>
          <w:sz w:val="22"/>
          <w:szCs w:val="22"/>
        </w:rPr>
        <w:t xml:space="preserve"> du lancement, par la Commission européenne, du </w:t>
      </w:r>
      <w:r>
        <w:rPr>
          <w:rFonts w:ascii="EC Square Sans Pro" w:hAnsi="EC Square Sans Pro"/>
          <w:b/>
          <w:sz w:val="22"/>
          <w:szCs w:val="22"/>
        </w:rPr>
        <w:t>pacte pour les compétences</w:t>
      </w:r>
      <w:r>
        <w:rPr>
          <w:rFonts w:ascii="EC Square Sans Pro" w:hAnsi="EC Square Sans Pro"/>
          <w:sz w:val="22"/>
          <w:szCs w:val="22"/>
        </w:rPr>
        <w:t xml:space="preserve">, destiné à permettre un effort concerté des partenaires privés et publics, en faveur d’un investissement de qualité dans les compétences, au bénéfice de toutes les personnes en âge de travailler dans l’ensemble de l’Union, </w:t>
      </w:r>
      <w:r>
        <w:rPr>
          <w:rFonts w:ascii="EC Square Sans Pro" w:hAnsi="EC Square Sans Pro"/>
          <w:b/>
          <w:sz w:val="22"/>
          <w:szCs w:val="22"/>
        </w:rPr>
        <w:t>et nous respecterons et défendrons les principes clés suivants</w:t>
      </w:r>
      <w:r>
        <w:rPr>
          <w:rFonts w:ascii="EC Square Sans Pro" w:hAnsi="EC Square Sans Pro"/>
          <w:sz w:val="22"/>
          <w:szCs w:val="22"/>
        </w:rPr>
        <w:t>:</w:t>
      </w:r>
    </w:p>
    <w:p w14:paraId="66FFD0CB" w14:textId="5CBC9E99" w:rsidR="00610108" w:rsidRPr="0059792B" w:rsidRDefault="00610108" w:rsidP="00AB28CC">
      <w:pPr>
        <w:pStyle w:val="Text1"/>
        <w:numPr>
          <w:ilvl w:val="0"/>
          <w:numId w:val="2"/>
        </w:numPr>
        <w:spacing w:before="120" w:after="0" w:line="276" w:lineRule="auto"/>
        <w:rPr>
          <w:rFonts w:ascii="EC Square Sans Pro" w:hAnsi="EC Square Sans Pro"/>
          <w:sz w:val="22"/>
          <w:szCs w:val="22"/>
        </w:rPr>
      </w:pPr>
      <w:r>
        <w:rPr>
          <w:rFonts w:ascii="EC Square Sans Pro" w:hAnsi="EC Square Sans Pro"/>
          <w:b/>
          <w:bCs/>
          <w:sz w:val="22"/>
          <w:szCs w:val="22"/>
        </w:rPr>
        <w:t>Promouvoir une culture de l’apprentissage tout au long de la vie pour tous</w:t>
      </w:r>
    </w:p>
    <w:p w14:paraId="5DC1E812" w14:textId="5C85E62B" w:rsidR="00610108" w:rsidRPr="0059792B" w:rsidRDefault="00610108" w:rsidP="00AB28CC">
      <w:pPr>
        <w:pStyle w:val="Text1"/>
        <w:numPr>
          <w:ilvl w:val="0"/>
          <w:numId w:val="2"/>
        </w:numPr>
        <w:spacing w:before="120" w:after="0" w:line="276" w:lineRule="auto"/>
        <w:jc w:val="left"/>
        <w:rPr>
          <w:rFonts w:ascii="EC Square Sans Pro" w:hAnsi="EC Square Sans Pro"/>
          <w:b/>
          <w:bCs/>
          <w:sz w:val="22"/>
          <w:szCs w:val="22"/>
        </w:rPr>
      </w:pPr>
      <w:r>
        <w:rPr>
          <w:rFonts w:ascii="EC Square Sans Pro" w:hAnsi="EC Square Sans Pro"/>
          <w:b/>
          <w:bCs/>
          <w:sz w:val="22"/>
          <w:szCs w:val="22"/>
        </w:rPr>
        <w:t>Mettre en place des partenariats solides en matière de compétences</w:t>
      </w:r>
    </w:p>
    <w:p w14:paraId="66BE6F53" w14:textId="6F97C186" w:rsidR="00610108" w:rsidRPr="0059792B" w:rsidRDefault="00610108" w:rsidP="00AB28CC">
      <w:pPr>
        <w:pStyle w:val="Text1"/>
        <w:numPr>
          <w:ilvl w:val="0"/>
          <w:numId w:val="2"/>
        </w:numPr>
        <w:spacing w:before="120" w:after="0" w:line="276" w:lineRule="auto"/>
        <w:jc w:val="left"/>
        <w:rPr>
          <w:rFonts w:ascii="EC Square Sans Pro" w:hAnsi="EC Square Sans Pro"/>
          <w:b/>
          <w:bCs/>
          <w:sz w:val="22"/>
          <w:szCs w:val="22"/>
        </w:rPr>
      </w:pPr>
      <w:r>
        <w:rPr>
          <w:rFonts w:ascii="EC Square Sans Pro" w:hAnsi="EC Square Sans Pro"/>
          <w:b/>
          <w:bCs/>
          <w:sz w:val="22"/>
          <w:szCs w:val="22"/>
        </w:rPr>
        <w:t>Suivre l’offre et la demande de compétences, et anticiper les besoins en compétences</w:t>
      </w:r>
    </w:p>
    <w:p w14:paraId="53512182" w14:textId="72F0EC5A" w:rsidR="00610108" w:rsidRPr="0059792B" w:rsidRDefault="00610108" w:rsidP="00AB28CC">
      <w:pPr>
        <w:pStyle w:val="Text1"/>
        <w:numPr>
          <w:ilvl w:val="0"/>
          <w:numId w:val="2"/>
        </w:numPr>
        <w:spacing w:before="120" w:after="0" w:line="276" w:lineRule="auto"/>
        <w:jc w:val="left"/>
        <w:rPr>
          <w:rFonts w:ascii="EC Square Sans Pro" w:hAnsi="EC Square Sans Pro"/>
          <w:sz w:val="22"/>
          <w:szCs w:val="22"/>
        </w:rPr>
      </w:pPr>
      <w:r>
        <w:rPr>
          <w:rFonts w:ascii="EC Square Sans Pro" w:hAnsi="EC Square Sans Pro"/>
          <w:b/>
          <w:bCs/>
          <w:sz w:val="22"/>
          <w:szCs w:val="22"/>
        </w:rPr>
        <w:t>Lutter contre les discriminations et pour l’égalité hommes-femmes et l’égalité des chances</w:t>
      </w:r>
    </w:p>
    <w:p w14:paraId="27CEEABE" w14:textId="2013A847" w:rsidR="0080312A" w:rsidRDefault="0080312A" w:rsidP="0080312A">
      <w:pPr>
        <w:pStyle w:val="Text1"/>
        <w:spacing w:before="120" w:after="0" w:line="276" w:lineRule="auto"/>
        <w:ind w:left="0"/>
        <w:rPr>
          <w:rFonts w:ascii="EC Square Sans Pro" w:hAnsi="EC Square Sans Pro" w:cstheme="minorHAnsi"/>
          <w:sz w:val="22"/>
          <w:szCs w:val="22"/>
        </w:rPr>
      </w:pPr>
    </w:p>
    <w:p w14:paraId="2D2B741A" w14:textId="7711C7C8" w:rsidR="0059792B" w:rsidRPr="0059792B" w:rsidRDefault="0059792B" w:rsidP="0059792B">
      <w:pPr>
        <w:pStyle w:val="Text1"/>
        <w:spacing w:before="120" w:after="0" w:line="276" w:lineRule="auto"/>
        <w:ind w:left="0"/>
        <w:jc w:val="right"/>
        <w:rPr>
          <w:rFonts w:ascii="EC Square Sans Pro" w:hAnsi="EC Square Sans Pro" w:cstheme="minorHAnsi"/>
          <w:sz w:val="22"/>
          <w:szCs w:val="22"/>
        </w:rPr>
      </w:pPr>
      <w:r>
        <w:rPr>
          <w:rFonts w:ascii="EC Square Sans Pro" w:hAnsi="EC Square Sans Pro"/>
          <w:sz w:val="22"/>
          <w:szCs w:val="22"/>
        </w:rPr>
        <w:t>Liste des signataires</w:t>
      </w:r>
    </w:p>
    <w:p w14:paraId="6445B9C6" w14:textId="77777777" w:rsidR="00DB3BD1" w:rsidRPr="0059792B" w:rsidRDefault="00DB3BD1">
      <w:pPr>
        <w:spacing w:before="0" w:after="0"/>
        <w:jc w:val="left"/>
        <w:rPr>
          <w:rFonts w:ascii="EC Square Sans Pro" w:hAnsi="EC Square Sans Pro" w:cstheme="minorHAnsi"/>
          <w:b/>
          <w:sz w:val="28"/>
          <w:szCs w:val="28"/>
        </w:rPr>
      </w:pPr>
      <w:r>
        <w:br w:type="page"/>
      </w:r>
    </w:p>
    <w:p w14:paraId="54C3BA72" w14:textId="04392F2A" w:rsidR="0092105C" w:rsidRPr="0059792B" w:rsidRDefault="00DF26D8" w:rsidP="00610108">
      <w:pPr>
        <w:pStyle w:val="Text1"/>
        <w:spacing w:before="120" w:after="0" w:line="276" w:lineRule="auto"/>
        <w:ind w:left="0"/>
        <w:rPr>
          <w:rFonts w:ascii="EC Square Sans Pro" w:hAnsi="EC Square Sans Pro" w:cstheme="minorHAnsi"/>
          <w:b/>
          <w:sz w:val="28"/>
          <w:szCs w:val="28"/>
        </w:rPr>
      </w:pPr>
      <w:r>
        <w:rPr>
          <w:rFonts w:ascii="EC Square Sans Pro" w:hAnsi="EC Square Sans Pro"/>
          <w:b/>
          <w:sz w:val="28"/>
          <w:szCs w:val="28"/>
        </w:rPr>
        <w:t>PRENDRE DES ENGAGEMENTS CONCRETS</w:t>
      </w:r>
    </w:p>
    <w:p w14:paraId="17DC1260" w14:textId="7BD0DBF0" w:rsidR="00E31B0F" w:rsidRPr="0059792B" w:rsidRDefault="00E31B0F"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 xml:space="preserve">En plus de respecter et de défendre les principes clés, les signataires du pacte pour les compétences sont vivement encouragés à présenter des engagements concrets concernant la réalisation d’activités de perfectionnement ou de reconversion professionnels, par lesquels ils donneront corps à ces principes clés. Ils peuvent le faire de différentes manières, selon le contexte, l’écosystème industriel et le type d’organisations concernées (entreprises, autres organisations ou partenariats). </w:t>
      </w:r>
    </w:p>
    <w:p w14:paraId="217CB6CB" w14:textId="5CE8453F" w:rsidR="0092105C" w:rsidRPr="0059792B" w:rsidRDefault="00E31B0F"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On trouvera ci-dessous une liste indicative et non exhaustive de catalyseurs qui peuvent contribuer à la définition d’engagements concrets. Lorsqu’ils proposent un engagement, prévoyant des actions concrètes de perfectionnement et de reconversion, les organisations ou partenariats devraient choisir les catalyseurs concernés, puis, s’il y a lieu, les adapter et les intégrer pour qu’ils correspondent avec la teneur de leur engagement. Ils devraient également indiquer au moins un indicateur clé de performance permettant d’assurer le suivi de l’engagement, par exemple le nombre de personnes prenant part aux activités de perfectionnement ou de reconversion.</w:t>
      </w:r>
    </w:p>
    <w:p w14:paraId="56EAC29A" w14:textId="35C9ECAA" w:rsidR="00A46659" w:rsidRPr="0059792B" w:rsidRDefault="00610108" w:rsidP="00610108">
      <w:pPr>
        <w:pStyle w:val="Text1"/>
        <w:spacing w:before="120" w:after="0" w:line="276" w:lineRule="auto"/>
        <w:ind w:left="0"/>
        <w:rPr>
          <w:rFonts w:ascii="EC Square Sans Pro" w:hAnsi="EC Square Sans Pro" w:cstheme="minorHAnsi"/>
          <w:b/>
          <w:sz w:val="22"/>
          <w:szCs w:val="22"/>
        </w:rPr>
      </w:pPr>
      <w:r>
        <w:rPr>
          <w:rFonts w:ascii="EC Square Sans Pro" w:hAnsi="EC Square Sans Pro"/>
          <w:b/>
          <w:sz w:val="22"/>
          <w:szCs w:val="22"/>
        </w:rPr>
        <w:t>Promouvoir une culture de l’apprentissage tout au long de la vie pour tous</w:t>
      </w:r>
    </w:p>
    <w:p w14:paraId="746FAEF9" w14:textId="45F1129F" w:rsidR="00610108" w:rsidRPr="0059792B" w:rsidRDefault="00112082" w:rsidP="00AB28CC">
      <w:pPr>
        <w:pStyle w:val="Text1"/>
        <w:numPr>
          <w:ilvl w:val="0"/>
          <w:numId w:val="3"/>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L’organisation agit en faveur des compétences de son personnel, qui sont essentielles à sa réussite. </w:t>
      </w:r>
    </w:p>
    <w:p w14:paraId="7B988AD8" w14:textId="555ED8A7" w:rsidR="00610108" w:rsidRPr="0059792B" w:rsidRDefault="00D156BA" w:rsidP="00AB28CC">
      <w:pPr>
        <w:pStyle w:val="Text1"/>
        <w:numPr>
          <w:ilvl w:val="0"/>
          <w:numId w:val="3"/>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Les employeurs et les travailleurs sont sensibilisés à l’utilité et aux bienfaits du perfectionnement et </w:t>
      </w:r>
      <w:proofErr w:type="gramStart"/>
      <w:r>
        <w:rPr>
          <w:rFonts w:ascii="EC Square Sans Pro" w:hAnsi="EC Square Sans Pro"/>
          <w:sz w:val="22"/>
          <w:szCs w:val="22"/>
        </w:rPr>
        <w:t>de la reconversion professionnels</w:t>
      </w:r>
      <w:proofErr w:type="gramEnd"/>
      <w:r>
        <w:rPr>
          <w:rFonts w:ascii="EC Square Sans Pro" w:hAnsi="EC Square Sans Pro"/>
          <w:sz w:val="22"/>
          <w:szCs w:val="22"/>
        </w:rPr>
        <w:t>. Ils sont encouragés à améliorer continuellement leurs connaissances et leurs compétences.</w:t>
      </w:r>
    </w:p>
    <w:p w14:paraId="26136FE4" w14:textId="0CE1D3FE" w:rsidR="00610108" w:rsidRPr="0059792B" w:rsidRDefault="00610108" w:rsidP="00AB28CC">
      <w:pPr>
        <w:pStyle w:val="Text1"/>
        <w:numPr>
          <w:ilvl w:val="0"/>
          <w:numId w:val="3"/>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L’action est mise au point pour les travailleurs et avec ceux-ci. Elle est soutenue par tous les niveaux hiérarchiques. </w:t>
      </w:r>
    </w:p>
    <w:p w14:paraId="48002E22" w14:textId="1953C653" w:rsidR="000E1A31" w:rsidRPr="0059792B" w:rsidRDefault="00112082" w:rsidP="00AB28CC">
      <w:pPr>
        <w:pStyle w:val="Text1"/>
        <w:numPr>
          <w:ilvl w:val="0"/>
          <w:numId w:val="3"/>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Des services d’orientation professionnelle et d’aide à l’évolution de carrière sont disponibles.</w:t>
      </w:r>
    </w:p>
    <w:p w14:paraId="52B83533" w14:textId="2989E060" w:rsidR="00610108" w:rsidRPr="0059792B" w:rsidRDefault="007669A6" w:rsidP="00AB28CC">
      <w:pPr>
        <w:pStyle w:val="Text1"/>
        <w:numPr>
          <w:ilvl w:val="0"/>
          <w:numId w:val="3"/>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Des ressources financières appropriées sont mises en place.</w:t>
      </w:r>
    </w:p>
    <w:p w14:paraId="7FDDC847" w14:textId="7FFE5876" w:rsidR="00610108" w:rsidRPr="0059792B" w:rsidRDefault="006E34FF" w:rsidP="00AB28CC">
      <w:pPr>
        <w:pStyle w:val="Text1"/>
        <w:numPr>
          <w:ilvl w:val="0"/>
          <w:numId w:val="3"/>
        </w:numPr>
        <w:tabs>
          <w:tab w:val="left" w:pos="675"/>
        </w:tabs>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L’évaluation de la qualité et le suivi sont réguliers. </w:t>
      </w:r>
    </w:p>
    <w:p w14:paraId="7A595B6D" w14:textId="16929381" w:rsidR="00610108" w:rsidRPr="0059792B" w:rsidRDefault="0022195C" w:rsidP="00AB28CC">
      <w:pPr>
        <w:pStyle w:val="Text1"/>
        <w:numPr>
          <w:ilvl w:val="0"/>
          <w:numId w:val="3"/>
        </w:numPr>
        <w:tabs>
          <w:tab w:val="left" w:pos="675"/>
        </w:tabs>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Une attention particulière est accordée au perfectionnement et à la reconversion des groupes défavorisés, parmi lesquels les travailleurs âgés et les adultes qui rencontrent des difficultés avec les compétences de base.</w:t>
      </w:r>
    </w:p>
    <w:p w14:paraId="09148CF1" w14:textId="4EEB302E" w:rsidR="00610108" w:rsidRPr="0059792B" w:rsidRDefault="006E34FF" w:rsidP="00AB28CC">
      <w:pPr>
        <w:pStyle w:val="Text1"/>
        <w:numPr>
          <w:ilvl w:val="0"/>
          <w:numId w:val="3"/>
        </w:numPr>
        <w:spacing w:before="120" w:after="0" w:line="276" w:lineRule="auto"/>
        <w:rPr>
          <w:rFonts w:ascii="EC Square Sans Pro" w:hAnsi="EC Square Sans Pro" w:cstheme="minorHAnsi"/>
          <w:sz w:val="22"/>
          <w:szCs w:val="22"/>
        </w:rPr>
      </w:pPr>
      <w:r>
        <w:rPr>
          <w:rFonts w:ascii="EC Square Sans Pro" w:hAnsi="EC Square Sans Pro"/>
          <w:sz w:val="22"/>
          <w:szCs w:val="22"/>
        </w:rPr>
        <w:t>Un soutien est apporté à la hiérarchie et au personnel pour qu’ils se forment et qu’ils surmontent les obstacles tels que le manque de temps, d’argent ou d’informations sur les possibilités de perfectionnement ou de reconversion.</w:t>
      </w:r>
    </w:p>
    <w:p w14:paraId="2025A884" w14:textId="591C1DE3" w:rsidR="00E44623" w:rsidRPr="0059792B" w:rsidRDefault="00E44623" w:rsidP="00AB28CC">
      <w:pPr>
        <w:pStyle w:val="Text1"/>
        <w:numPr>
          <w:ilvl w:val="0"/>
          <w:numId w:val="3"/>
        </w:numPr>
        <w:spacing w:before="120" w:after="0" w:line="276" w:lineRule="auto"/>
        <w:rPr>
          <w:rFonts w:ascii="EC Square Sans Pro" w:hAnsi="EC Square Sans Pro" w:cstheme="minorHAnsi"/>
          <w:sz w:val="22"/>
          <w:szCs w:val="22"/>
        </w:rPr>
      </w:pPr>
      <w:r>
        <w:rPr>
          <w:rFonts w:ascii="EC Square Sans Pro" w:hAnsi="EC Square Sans Pro"/>
          <w:sz w:val="22"/>
          <w:szCs w:val="22"/>
        </w:rPr>
        <w:t>Les entreprises peuvent bénéficier de mesures d’incitation – financière et non financière – à offrir des possibilités de perfectionnement et de reconversion à la hiérarchie et au personnel.</w:t>
      </w:r>
    </w:p>
    <w:p w14:paraId="0E1D140B" w14:textId="116877C0" w:rsidR="00E44623" w:rsidRPr="0059792B" w:rsidRDefault="00E44623" w:rsidP="00283AE0">
      <w:pPr>
        <w:pStyle w:val="Text1"/>
        <w:numPr>
          <w:ilvl w:val="0"/>
          <w:numId w:val="3"/>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Un soutien spécifique (outils, services, financements, etc.) est proposé aux microentreprises ainsi qu’aux petites et moyennes entreprises, afin de créer et de perpétuer au sein de l’organisation une culture de l’apprentissage, au bénéfice de la hiérarchie comme du personnel.</w:t>
      </w:r>
    </w:p>
    <w:p w14:paraId="357F5E3E" w14:textId="48A81CB8" w:rsidR="00610108" w:rsidRPr="0059792B" w:rsidRDefault="00610108"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b/>
          <w:sz w:val="22"/>
          <w:szCs w:val="22"/>
        </w:rPr>
        <w:t xml:space="preserve">Mettre en place des partenariats solides en matière de compétences </w:t>
      </w:r>
    </w:p>
    <w:p w14:paraId="6FEB8D09" w14:textId="522BA2D1" w:rsidR="00610108" w:rsidRPr="0059792B" w:rsidRDefault="00E44623" w:rsidP="00AB28CC">
      <w:pPr>
        <w:pStyle w:val="Text1"/>
        <w:numPr>
          <w:ilvl w:val="0"/>
          <w:numId w:val="3"/>
        </w:numPr>
        <w:spacing w:before="120" w:after="0" w:line="276" w:lineRule="auto"/>
        <w:rPr>
          <w:rFonts w:ascii="EC Square Sans Pro" w:hAnsi="EC Square Sans Pro" w:cstheme="minorHAnsi"/>
          <w:sz w:val="22"/>
          <w:szCs w:val="22"/>
        </w:rPr>
      </w:pPr>
      <w:r>
        <w:rPr>
          <w:rFonts w:ascii="EC Square Sans Pro" w:hAnsi="EC Square Sans Pro"/>
          <w:sz w:val="22"/>
          <w:szCs w:val="22"/>
        </w:rPr>
        <w:t xml:space="preserve">Un large éventail d’acteurs sont mobilisés, notamment les partenaires sociaux, les prestataires de formation, les pouvoirs publics, les chercheurs, les services publics ou privés de l’emploi, les chambres de commerce et autres organismes intermédiaires, ainsi que les organisations sectorielles. </w:t>
      </w:r>
    </w:p>
    <w:p w14:paraId="3A8E8091" w14:textId="70390678" w:rsidR="00610108" w:rsidRDefault="00FA5FFC" w:rsidP="00AB28CC">
      <w:pPr>
        <w:pStyle w:val="Text1"/>
        <w:numPr>
          <w:ilvl w:val="0"/>
          <w:numId w:val="4"/>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Tous les acteurs pertinents d’un écosystème industriel peuvent devenir membres d’un partenariat, pour mettre en commun leur expertise et leurs ressources en faveur d’actions concrètes qui permettront aux citoyens de conserver leur emploi, d’en trouver un ou d’en changer. </w:t>
      </w:r>
    </w:p>
    <w:p w14:paraId="56BA1EC8" w14:textId="06FE7D02" w:rsidR="004C3338" w:rsidRPr="0059792B" w:rsidRDefault="004C3338" w:rsidP="004C3338">
      <w:pPr>
        <w:pStyle w:val="Text1"/>
        <w:numPr>
          <w:ilvl w:val="0"/>
          <w:numId w:val="4"/>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Le partenariat est instauré à l’échelon européen, national, régional ou local, selon le cas.</w:t>
      </w:r>
    </w:p>
    <w:p w14:paraId="07E6FC8B" w14:textId="2FA4354C" w:rsidR="00610108" w:rsidRPr="0059792B" w:rsidRDefault="00347462" w:rsidP="00AB28CC">
      <w:pPr>
        <w:pStyle w:val="Text1"/>
        <w:numPr>
          <w:ilvl w:val="0"/>
          <w:numId w:val="4"/>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Une coopération intersectorielle est favorisée, s’il y a lieu, entre les partenariats propres à différents secteurs ou écosystèmes industriels.</w:t>
      </w:r>
    </w:p>
    <w:p w14:paraId="2EE0BF81" w14:textId="00A529FF" w:rsidR="00610108" w:rsidRPr="0059792B" w:rsidRDefault="001130DA" w:rsidP="00AB28CC">
      <w:pPr>
        <w:pStyle w:val="Text1"/>
        <w:numPr>
          <w:ilvl w:val="0"/>
          <w:numId w:val="4"/>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La responsabilité partagée et le rôle proactif de chaque partenaire sont garantis.</w:t>
      </w:r>
    </w:p>
    <w:p w14:paraId="0D9D7987" w14:textId="5B48DE9F" w:rsidR="000E1A31" w:rsidRPr="0059792B" w:rsidRDefault="006E34FF" w:rsidP="00AB28CC">
      <w:pPr>
        <w:pStyle w:val="Text1"/>
        <w:numPr>
          <w:ilvl w:val="0"/>
          <w:numId w:val="4"/>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Les membres du partenariat entretiennent un dialogue ouvert, ils mettent en commun et échangent des connaissances pour veiller à ce que la qualité de l’offre de formation (qualité des enseignants/formateurs et des programmes de formation, entre autres) soit élevée. </w:t>
      </w:r>
    </w:p>
    <w:p w14:paraId="7F1F814A" w14:textId="057A3E7B" w:rsidR="00610108" w:rsidRPr="0059792B" w:rsidRDefault="001130DA" w:rsidP="00AB28CC">
      <w:pPr>
        <w:pStyle w:val="Text1"/>
        <w:numPr>
          <w:ilvl w:val="0"/>
          <w:numId w:val="4"/>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Le partenariat fonde son action sur des outils éprouvés, mais élabore également des solutions novatrices.</w:t>
      </w:r>
    </w:p>
    <w:p w14:paraId="4FEABA9A" w14:textId="39716BD0" w:rsidR="00610108" w:rsidRPr="0059792B" w:rsidRDefault="00610108" w:rsidP="00610108">
      <w:pPr>
        <w:pStyle w:val="Text1"/>
        <w:spacing w:before="120" w:after="0" w:line="276" w:lineRule="auto"/>
        <w:ind w:left="0"/>
        <w:rPr>
          <w:rFonts w:ascii="EC Square Sans Pro" w:hAnsi="EC Square Sans Pro" w:cstheme="minorHAnsi"/>
          <w:b/>
          <w:sz w:val="22"/>
          <w:szCs w:val="22"/>
        </w:rPr>
      </w:pPr>
      <w:r>
        <w:rPr>
          <w:rFonts w:ascii="EC Square Sans Pro" w:hAnsi="EC Square Sans Pro"/>
          <w:b/>
          <w:sz w:val="22"/>
          <w:szCs w:val="22"/>
        </w:rPr>
        <w:t>Suivre l’offre et la demande de compétences, et anticiper les besoins en compétences</w:t>
      </w:r>
    </w:p>
    <w:p w14:paraId="2CE160BB" w14:textId="77777777" w:rsidR="00610108" w:rsidRPr="0059792B" w:rsidRDefault="00610108" w:rsidP="00AB28CC">
      <w:pPr>
        <w:pStyle w:val="Text1"/>
        <w:numPr>
          <w:ilvl w:val="0"/>
          <w:numId w:val="5"/>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La demande et l’offre de compétences (liées au travail ou transversales) font l’objet d’un suivi régulier, et les besoins en compétences sont clairement communiqués à chacun. </w:t>
      </w:r>
    </w:p>
    <w:p w14:paraId="580B7F3C" w14:textId="77777777" w:rsidR="003B6302" w:rsidRPr="0059792B" w:rsidRDefault="00610108" w:rsidP="00AB28CC">
      <w:pPr>
        <w:pStyle w:val="Text1"/>
        <w:numPr>
          <w:ilvl w:val="0"/>
          <w:numId w:val="5"/>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L’anticipation des compétences prend en compte la nécessité d’accompagner les transitions numérique et écologique ainsi que les conséquences de l’évolution démographique. </w:t>
      </w:r>
    </w:p>
    <w:p w14:paraId="5D48B295" w14:textId="702FE981" w:rsidR="00610108" w:rsidRPr="0059792B" w:rsidRDefault="003B6302" w:rsidP="00AB28CC">
      <w:pPr>
        <w:pStyle w:val="Text1"/>
        <w:numPr>
          <w:ilvl w:val="0"/>
          <w:numId w:val="5"/>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Le suivi de l’offre et de la demande de compétences porte sur les besoins en compétences de la main-d’œuvre et des entreprises à l’échelon régional, national et européen.</w:t>
      </w:r>
    </w:p>
    <w:p w14:paraId="12C1E9BC" w14:textId="77777777" w:rsidR="004C3338" w:rsidRPr="004C3338" w:rsidRDefault="00610108" w:rsidP="004C3338">
      <w:pPr>
        <w:pStyle w:val="Text1"/>
        <w:numPr>
          <w:ilvl w:val="0"/>
          <w:numId w:val="5"/>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L’anticipation des compétences permet de tenir compte de l’évolution rapide du marché du travail et de fournir, en temps utile, des informations pertinentes sur les besoins en compétences.</w:t>
      </w:r>
      <w:r>
        <w:t xml:space="preserve"> </w:t>
      </w:r>
    </w:p>
    <w:p w14:paraId="48F7F75D" w14:textId="2DE9C724" w:rsidR="00610108" w:rsidRPr="0059792B" w:rsidRDefault="004C3338" w:rsidP="004C3338">
      <w:pPr>
        <w:pStyle w:val="Text1"/>
        <w:numPr>
          <w:ilvl w:val="0"/>
          <w:numId w:val="5"/>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L’anticipation des compétences tient compte des évolutions régionales, nationales et européennes.</w:t>
      </w:r>
    </w:p>
    <w:p w14:paraId="6BD98093" w14:textId="791DEDA0" w:rsidR="00610108" w:rsidRPr="0059792B" w:rsidRDefault="001130DA" w:rsidP="00AB28CC">
      <w:pPr>
        <w:pStyle w:val="Text1"/>
        <w:numPr>
          <w:ilvl w:val="0"/>
          <w:numId w:val="5"/>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Le mécanisme de suivi couvre les besoins non seulement en compétences liées au travail, mais aussi en compétences transversales et de base.</w:t>
      </w:r>
    </w:p>
    <w:p w14:paraId="4F41DDA8" w14:textId="0C320565" w:rsidR="00610108" w:rsidRPr="0059792B" w:rsidRDefault="001130DA" w:rsidP="00AB28CC">
      <w:pPr>
        <w:pStyle w:val="Text1"/>
        <w:numPr>
          <w:ilvl w:val="0"/>
          <w:numId w:val="5"/>
        </w:numPr>
        <w:spacing w:before="120" w:after="0" w:line="276" w:lineRule="auto"/>
        <w:rPr>
          <w:rFonts w:ascii="EC Square Sans Pro" w:hAnsi="EC Square Sans Pro" w:cstheme="minorHAnsi"/>
          <w:sz w:val="22"/>
          <w:szCs w:val="22"/>
        </w:rPr>
      </w:pPr>
      <w:r>
        <w:rPr>
          <w:rFonts w:ascii="EC Square Sans Pro" w:hAnsi="EC Square Sans Pro"/>
          <w:sz w:val="22"/>
          <w:szCs w:val="22"/>
        </w:rPr>
        <w:t>L’action s’appuie sur les besoins recensés en matière de compétences, liées au travail comme transversales.</w:t>
      </w:r>
    </w:p>
    <w:p w14:paraId="7254DFFF" w14:textId="33F6C60D" w:rsidR="00610108" w:rsidRPr="0059792B" w:rsidRDefault="00610108" w:rsidP="00610108">
      <w:pPr>
        <w:pStyle w:val="Text1"/>
        <w:spacing w:before="120" w:after="0" w:line="276" w:lineRule="auto"/>
        <w:ind w:left="0"/>
        <w:rPr>
          <w:rFonts w:ascii="EC Square Sans Pro" w:hAnsi="EC Square Sans Pro" w:cstheme="minorHAnsi"/>
          <w:b/>
          <w:sz w:val="22"/>
          <w:szCs w:val="22"/>
        </w:rPr>
      </w:pPr>
      <w:r>
        <w:rPr>
          <w:rFonts w:ascii="EC Square Sans Pro" w:hAnsi="EC Square Sans Pro"/>
          <w:b/>
          <w:sz w:val="22"/>
          <w:szCs w:val="22"/>
        </w:rPr>
        <w:t>Lutter contre les discriminations et pour l’égalité hommes-femmes et l’égalité des chances</w:t>
      </w:r>
    </w:p>
    <w:p w14:paraId="6D6DA112" w14:textId="087FAF3C" w:rsidR="002F22E0" w:rsidRPr="0059792B" w:rsidRDefault="001130DA" w:rsidP="002F22E0">
      <w:pPr>
        <w:pStyle w:val="Text1"/>
        <w:numPr>
          <w:ilvl w:val="0"/>
          <w:numId w:val="6"/>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Les actions menées favorisent activement l’égalité des chances, indépendamment du sexe, de la race ou de l’origine ethnique, de la religion ou des convictions, du handicap, de l’âge ou de l’orientation sexuelle.</w:t>
      </w:r>
    </w:p>
    <w:p w14:paraId="56139681" w14:textId="559C82C7" w:rsidR="00610108" w:rsidRPr="0059792B" w:rsidRDefault="00774040" w:rsidP="00774040">
      <w:pPr>
        <w:pStyle w:val="Text1"/>
        <w:numPr>
          <w:ilvl w:val="0"/>
          <w:numId w:val="6"/>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L’action offre à l’ensemble du groupe cible un accès à des possibilités de perfectionnement ou de reconversion de grande qualité, sans distinction de sexe, de race ou d’origine ethnique, de religion ou de convictions, de handicap, d’âge</w:t>
      </w:r>
      <w:r>
        <w:rPr>
          <w:rStyle w:val="FootnoteReference"/>
          <w:rFonts w:ascii="EC Square Sans Pro" w:hAnsi="EC Square Sans Pro" w:cstheme="minorHAnsi"/>
          <w:sz w:val="22"/>
          <w:szCs w:val="22"/>
        </w:rPr>
        <w:footnoteReference w:id="3"/>
      </w:r>
      <w:r>
        <w:rPr>
          <w:rFonts w:ascii="EC Square Sans Pro" w:hAnsi="EC Square Sans Pro"/>
          <w:sz w:val="22"/>
          <w:szCs w:val="22"/>
        </w:rPr>
        <w:t xml:space="preserve"> ou d’orientation sexuelle. </w:t>
      </w:r>
    </w:p>
    <w:p w14:paraId="4881B9BD" w14:textId="7DD69CD0" w:rsidR="00610108" w:rsidRPr="0059792B" w:rsidRDefault="00774040" w:rsidP="00AB28CC">
      <w:pPr>
        <w:pStyle w:val="Text1"/>
        <w:numPr>
          <w:ilvl w:val="0"/>
          <w:numId w:val="6"/>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La validation et la reconnaissance des compétences acquises (</w:t>
      </w:r>
      <w:proofErr w:type="spellStart"/>
      <w:r>
        <w:rPr>
          <w:rFonts w:ascii="EC Square Sans Pro" w:hAnsi="EC Square Sans Pro"/>
          <w:sz w:val="22"/>
          <w:szCs w:val="22"/>
        </w:rPr>
        <w:t>microqualifications</w:t>
      </w:r>
      <w:proofErr w:type="spellEnd"/>
      <w:r>
        <w:rPr>
          <w:rFonts w:ascii="EC Square Sans Pro" w:hAnsi="EC Square Sans Pro"/>
          <w:sz w:val="22"/>
          <w:szCs w:val="22"/>
        </w:rPr>
        <w:t xml:space="preserve"> comprises) sont intégrées dans l’action.</w:t>
      </w:r>
    </w:p>
    <w:p w14:paraId="524E032D" w14:textId="5CAB99B1" w:rsidR="00610108" w:rsidRPr="0059792B" w:rsidRDefault="00610108" w:rsidP="00AB28CC">
      <w:pPr>
        <w:pStyle w:val="Text1"/>
        <w:numPr>
          <w:ilvl w:val="0"/>
          <w:numId w:val="7"/>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Il est tenu compte des capacités des personnes et de leurs besoins, personnels et professionnels (réorientation en milieu de carrière, par exemple).</w:t>
      </w:r>
    </w:p>
    <w:p w14:paraId="2B2F0D54" w14:textId="615E20AE" w:rsidR="00E35952" w:rsidRPr="000D72F3" w:rsidRDefault="006E34FF" w:rsidP="00395CB5">
      <w:pPr>
        <w:pStyle w:val="Text1"/>
        <w:numPr>
          <w:ilvl w:val="0"/>
          <w:numId w:val="7"/>
        </w:numPr>
        <w:spacing w:after="0" w:line="276" w:lineRule="auto"/>
        <w:ind w:right="113"/>
        <w:rPr>
          <w:rFonts w:ascii="EC Square Sans Pro" w:hAnsi="EC Square Sans Pro" w:cstheme="minorHAnsi"/>
          <w:sz w:val="22"/>
          <w:szCs w:val="22"/>
        </w:rPr>
      </w:pPr>
      <w:r>
        <w:rPr>
          <w:rFonts w:ascii="EC Square Sans Pro" w:hAnsi="EC Square Sans Pro"/>
          <w:sz w:val="22"/>
          <w:szCs w:val="22"/>
        </w:rPr>
        <w:t xml:space="preserve">L’action est flexible, modulaire et, lorsque cela est possible, proposée au moyen d’outils (entre autres numériques) garantissant l’accès à l’apprentissage à toutes les personnes en âge de travailler. </w:t>
      </w:r>
    </w:p>
    <w:sectPr w:rsidR="00E35952" w:rsidRPr="000D72F3" w:rsidSect="00AB28CC">
      <w:headerReference w:type="even" r:id="rId8"/>
      <w:headerReference w:type="default" r:id="rId9"/>
      <w:footerReference w:type="even" r:id="rId10"/>
      <w:footerReference w:type="default" r:id="rId11"/>
      <w:headerReference w:type="first" r:id="rId12"/>
      <w:footerReference w:type="first" r:id="rId13"/>
      <w:pgSz w:w="11906" w:h="16838"/>
      <w:pgMar w:top="117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44F47C" w14:textId="77777777" w:rsidR="00432AD9" w:rsidRDefault="00432AD9" w:rsidP="008151F7">
      <w:pPr>
        <w:spacing w:before="0" w:after="0"/>
      </w:pPr>
      <w:r>
        <w:separator/>
      </w:r>
    </w:p>
  </w:endnote>
  <w:endnote w:type="continuationSeparator" w:id="0">
    <w:p w14:paraId="74EFB546" w14:textId="77777777" w:rsidR="00432AD9" w:rsidRDefault="00432AD9" w:rsidP="008151F7">
      <w:pPr>
        <w:spacing w:before="0" w:after="0"/>
      </w:pPr>
      <w:r>
        <w:continuationSeparator/>
      </w:r>
    </w:p>
  </w:endnote>
  <w:endnote w:type="continuationNotice" w:id="1">
    <w:p w14:paraId="403A5F65" w14:textId="77777777" w:rsidR="00432AD9" w:rsidRDefault="00432AD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EC Square Sans Pro">
    <w:panose1 w:val="020B0506040000020004"/>
    <w:charset w:val="00"/>
    <w:family w:val="swiss"/>
    <w:pitch w:val="variable"/>
    <w:sig w:usb0="A00002BF" w:usb1="5000E0F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01502E" w14:textId="77777777" w:rsidR="001C4D40" w:rsidRDefault="001C4D4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60BD0F" w14:textId="77777777" w:rsidR="00C15301" w:rsidRPr="001C4D40" w:rsidRDefault="00C15301" w:rsidP="001C4D4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B1E2A9" w14:textId="77777777" w:rsidR="001C4D40" w:rsidRDefault="001C4D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D2BB2B" w14:textId="77777777" w:rsidR="00432AD9" w:rsidRDefault="00432AD9" w:rsidP="008151F7">
      <w:pPr>
        <w:spacing w:before="0" w:after="0"/>
      </w:pPr>
      <w:r>
        <w:separator/>
      </w:r>
    </w:p>
  </w:footnote>
  <w:footnote w:type="continuationSeparator" w:id="0">
    <w:p w14:paraId="1A652DF5" w14:textId="77777777" w:rsidR="00432AD9" w:rsidRDefault="00432AD9" w:rsidP="008151F7">
      <w:pPr>
        <w:spacing w:before="0" w:after="0"/>
      </w:pPr>
      <w:r>
        <w:continuationSeparator/>
      </w:r>
    </w:p>
  </w:footnote>
  <w:footnote w:type="continuationNotice" w:id="1">
    <w:p w14:paraId="54DEE4A9" w14:textId="77777777" w:rsidR="00432AD9" w:rsidRDefault="00432AD9">
      <w:pPr>
        <w:spacing w:before="0" w:after="0"/>
      </w:pPr>
    </w:p>
  </w:footnote>
  <w:footnote w:id="2">
    <w:p w14:paraId="6C35FB22" w14:textId="77777777" w:rsidR="000D72F3" w:rsidRDefault="000D72F3" w:rsidP="000D72F3">
      <w:pPr>
        <w:pStyle w:val="FootnoteText"/>
      </w:pPr>
      <w:r>
        <w:rPr>
          <w:rStyle w:val="FootnoteReference"/>
        </w:rPr>
        <w:footnoteRef/>
      </w:r>
      <w:r>
        <w:t xml:space="preserve"> </w:t>
      </w:r>
      <w:r>
        <w:tab/>
        <w:t xml:space="preserve">Notamment le Fonds social européen plus, REACT-EU, le Fonds pour une transition juste, Erasmus+, Horizon Europe, le programme pour une Europe numérique, le Fonds européen de développement régional, </w:t>
      </w:r>
      <w:proofErr w:type="spellStart"/>
      <w:r>
        <w:t>InvestEU</w:t>
      </w:r>
      <w:proofErr w:type="spellEnd"/>
      <w:r>
        <w:t xml:space="preserve"> et le Fonds pour la modernisation.</w:t>
      </w:r>
    </w:p>
  </w:footnote>
  <w:footnote w:id="3">
    <w:p w14:paraId="0A32517E" w14:textId="16C3F6B3" w:rsidR="00774040" w:rsidRDefault="00774040">
      <w:pPr>
        <w:pStyle w:val="FootnoteText"/>
      </w:pPr>
      <w:r>
        <w:rPr>
          <w:rStyle w:val="FootnoteReference"/>
        </w:rPr>
        <w:footnoteRef/>
      </w:r>
      <w:r>
        <w:t xml:space="preserve"> </w:t>
      </w:r>
      <w:r>
        <w:tab/>
        <w:t>Sauf si la nature de l’action le justifie, par exemple dans le cas d’initiatives de perfectionnement ou de reconversion destinées aux travailleurs âgés ou aux jeunes travailleurs.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481E6" w14:textId="271A661A" w:rsidR="001C4D40" w:rsidRDefault="001C4D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2DA742" w14:textId="3ACBC93D" w:rsidR="001C4D40" w:rsidRPr="00926193" w:rsidRDefault="001C4D40" w:rsidP="0092619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5FAAB" w14:textId="48F2D677" w:rsidR="001C4D40" w:rsidRDefault="001C4D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A77DD"/>
    <w:multiLevelType w:val="hybridMultilevel"/>
    <w:tmpl w:val="4742012A"/>
    <w:lvl w:ilvl="0" w:tplc="EC5E95C0">
      <w:start w:val="1"/>
      <w:numFmt w:val="decimal"/>
      <w:lvlText w:val="%1."/>
      <w:lvlJc w:val="left"/>
      <w:pPr>
        <w:ind w:left="720" w:hanging="360"/>
      </w:pPr>
      <w:rPr>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4996626"/>
    <w:multiLevelType w:val="hybridMultilevel"/>
    <w:tmpl w:val="167E1E8A"/>
    <w:lvl w:ilvl="0" w:tplc="1F961EDC">
      <w:start w:val="1"/>
      <w:numFmt w:val="bullet"/>
      <w:pStyle w:val="Briefinglist1"/>
      <w:lvlText w:val=""/>
      <w:lvlJc w:val="left"/>
      <w:pPr>
        <w:tabs>
          <w:tab w:val="num" w:pos="284"/>
        </w:tabs>
        <w:ind w:left="284" w:hanging="284"/>
      </w:pPr>
      <w:rPr>
        <w:rFonts w:ascii="Symbol" w:hAnsi="Symbol" w:hint="default"/>
        <w:b w:val="0"/>
        <w:i w:val="0"/>
        <w:color w:val="auto"/>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64B4886"/>
    <w:multiLevelType w:val="hybridMultilevel"/>
    <w:tmpl w:val="BA4CA22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4AEF05B4"/>
    <w:multiLevelType w:val="hybridMultilevel"/>
    <w:tmpl w:val="140203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534B1C3E"/>
    <w:multiLevelType w:val="hybridMultilevel"/>
    <w:tmpl w:val="40EC12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56BA5583"/>
    <w:multiLevelType w:val="hybridMultilevel"/>
    <w:tmpl w:val="BA4CA22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57577808"/>
    <w:multiLevelType w:val="hybridMultilevel"/>
    <w:tmpl w:val="24042BC8"/>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59FE208B"/>
    <w:multiLevelType w:val="hybridMultilevel"/>
    <w:tmpl w:val="746021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65FD6255"/>
    <w:multiLevelType w:val="hybridMultilevel"/>
    <w:tmpl w:val="25C67D2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769E6A34"/>
    <w:multiLevelType w:val="hybridMultilevel"/>
    <w:tmpl w:val="0FE62C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A804B99"/>
    <w:multiLevelType w:val="hybridMultilevel"/>
    <w:tmpl w:val="E1E818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7"/>
  </w:num>
  <w:num w:numId="4">
    <w:abstractNumId w:val="10"/>
  </w:num>
  <w:num w:numId="5">
    <w:abstractNumId w:val="4"/>
  </w:num>
  <w:num w:numId="6">
    <w:abstractNumId w:val="8"/>
  </w:num>
  <w:num w:numId="7">
    <w:abstractNumId w:val="3"/>
  </w:num>
  <w:num w:numId="8">
    <w:abstractNumId w:val="9"/>
  </w:num>
  <w:num w:numId="9">
    <w:abstractNumId w:val="5"/>
  </w:num>
  <w:num w:numId="10">
    <w:abstractNumId w:val="6"/>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oofState w:spelling="clean" w:grammar="clean"/>
  <w:doNotTrackFormatting/>
  <w:defaultTabStop w:val="720"/>
  <w:hyphenationZone w:val="425"/>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D57776"/>
    <w:rsid w:val="000033D7"/>
    <w:rsid w:val="00007FB5"/>
    <w:rsid w:val="00023C08"/>
    <w:rsid w:val="000274D4"/>
    <w:rsid w:val="00027B3B"/>
    <w:rsid w:val="00040F32"/>
    <w:rsid w:val="0004352D"/>
    <w:rsid w:val="0004437D"/>
    <w:rsid w:val="000473C9"/>
    <w:rsid w:val="0005456A"/>
    <w:rsid w:val="00060684"/>
    <w:rsid w:val="00062C8E"/>
    <w:rsid w:val="00063F5F"/>
    <w:rsid w:val="000763D4"/>
    <w:rsid w:val="000857C1"/>
    <w:rsid w:val="00087BF8"/>
    <w:rsid w:val="000952B0"/>
    <w:rsid w:val="000A1A8B"/>
    <w:rsid w:val="000A75C4"/>
    <w:rsid w:val="000B18D4"/>
    <w:rsid w:val="000D09E9"/>
    <w:rsid w:val="000D68D8"/>
    <w:rsid w:val="000D72F3"/>
    <w:rsid w:val="000E0FCB"/>
    <w:rsid w:val="000E1A31"/>
    <w:rsid w:val="000E1DB8"/>
    <w:rsid w:val="000E2D77"/>
    <w:rsid w:val="000F18F3"/>
    <w:rsid w:val="00112082"/>
    <w:rsid w:val="00112F24"/>
    <w:rsid w:val="001130DA"/>
    <w:rsid w:val="00115FFB"/>
    <w:rsid w:val="00116DDA"/>
    <w:rsid w:val="00131F33"/>
    <w:rsid w:val="00156F14"/>
    <w:rsid w:val="00163B50"/>
    <w:rsid w:val="00180C0F"/>
    <w:rsid w:val="00191750"/>
    <w:rsid w:val="001922B3"/>
    <w:rsid w:val="00194587"/>
    <w:rsid w:val="001A1133"/>
    <w:rsid w:val="001A4389"/>
    <w:rsid w:val="001B2F8D"/>
    <w:rsid w:val="001C036B"/>
    <w:rsid w:val="001C4D40"/>
    <w:rsid w:val="001D6ADA"/>
    <w:rsid w:val="001F41D5"/>
    <w:rsid w:val="001F7AB2"/>
    <w:rsid w:val="001F7F7B"/>
    <w:rsid w:val="00213C3B"/>
    <w:rsid w:val="0022195C"/>
    <w:rsid w:val="00222253"/>
    <w:rsid w:val="00222FF3"/>
    <w:rsid w:val="0022676B"/>
    <w:rsid w:val="00251D05"/>
    <w:rsid w:val="00253E8A"/>
    <w:rsid w:val="00254831"/>
    <w:rsid w:val="002561F6"/>
    <w:rsid w:val="0026216D"/>
    <w:rsid w:val="002874E2"/>
    <w:rsid w:val="0029201E"/>
    <w:rsid w:val="00296BEC"/>
    <w:rsid w:val="002B1B65"/>
    <w:rsid w:val="002B30D0"/>
    <w:rsid w:val="002C0B75"/>
    <w:rsid w:val="002C0E3D"/>
    <w:rsid w:val="002D44A1"/>
    <w:rsid w:val="002D7E0A"/>
    <w:rsid w:val="002E3766"/>
    <w:rsid w:val="002F22E0"/>
    <w:rsid w:val="002F5765"/>
    <w:rsid w:val="002F59A6"/>
    <w:rsid w:val="002F62A9"/>
    <w:rsid w:val="00300D6E"/>
    <w:rsid w:val="0030106C"/>
    <w:rsid w:val="00311133"/>
    <w:rsid w:val="0031193D"/>
    <w:rsid w:val="00315699"/>
    <w:rsid w:val="00320201"/>
    <w:rsid w:val="00335AC1"/>
    <w:rsid w:val="0034151C"/>
    <w:rsid w:val="00345743"/>
    <w:rsid w:val="00347462"/>
    <w:rsid w:val="00353ECF"/>
    <w:rsid w:val="00364B47"/>
    <w:rsid w:val="00367EFF"/>
    <w:rsid w:val="003735E1"/>
    <w:rsid w:val="00380943"/>
    <w:rsid w:val="003821AC"/>
    <w:rsid w:val="00384C5A"/>
    <w:rsid w:val="00395CB5"/>
    <w:rsid w:val="003A2765"/>
    <w:rsid w:val="003B6302"/>
    <w:rsid w:val="003C5B80"/>
    <w:rsid w:val="003C615C"/>
    <w:rsid w:val="003D118D"/>
    <w:rsid w:val="003E7102"/>
    <w:rsid w:val="00401C59"/>
    <w:rsid w:val="00405D2E"/>
    <w:rsid w:val="00410BEA"/>
    <w:rsid w:val="0041405F"/>
    <w:rsid w:val="004147D1"/>
    <w:rsid w:val="0041685D"/>
    <w:rsid w:val="004200A3"/>
    <w:rsid w:val="00431450"/>
    <w:rsid w:val="00432AD9"/>
    <w:rsid w:val="00435D0E"/>
    <w:rsid w:val="004400B6"/>
    <w:rsid w:val="0044137E"/>
    <w:rsid w:val="0044151D"/>
    <w:rsid w:val="00442867"/>
    <w:rsid w:val="004507B6"/>
    <w:rsid w:val="004516BE"/>
    <w:rsid w:val="00452B2D"/>
    <w:rsid w:val="0045316E"/>
    <w:rsid w:val="00453AE2"/>
    <w:rsid w:val="004722CD"/>
    <w:rsid w:val="00480AFB"/>
    <w:rsid w:val="004840D4"/>
    <w:rsid w:val="00492016"/>
    <w:rsid w:val="004940E0"/>
    <w:rsid w:val="004A6A6A"/>
    <w:rsid w:val="004A770B"/>
    <w:rsid w:val="004B62FB"/>
    <w:rsid w:val="004C3338"/>
    <w:rsid w:val="004C3C69"/>
    <w:rsid w:val="004C3EBA"/>
    <w:rsid w:val="004D6453"/>
    <w:rsid w:val="004D747E"/>
    <w:rsid w:val="004E3DC1"/>
    <w:rsid w:val="005130D4"/>
    <w:rsid w:val="005166DE"/>
    <w:rsid w:val="005265D4"/>
    <w:rsid w:val="00527674"/>
    <w:rsid w:val="00530E88"/>
    <w:rsid w:val="005340F3"/>
    <w:rsid w:val="005406FC"/>
    <w:rsid w:val="00561EB9"/>
    <w:rsid w:val="00567128"/>
    <w:rsid w:val="00573A43"/>
    <w:rsid w:val="00575C55"/>
    <w:rsid w:val="00587CA5"/>
    <w:rsid w:val="0059410E"/>
    <w:rsid w:val="0059792B"/>
    <w:rsid w:val="005A7ABD"/>
    <w:rsid w:val="005B1CF5"/>
    <w:rsid w:val="005B2C0F"/>
    <w:rsid w:val="005C0B5C"/>
    <w:rsid w:val="005C54BD"/>
    <w:rsid w:val="005E0EB0"/>
    <w:rsid w:val="005E352F"/>
    <w:rsid w:val="005E5370"/>
    <w:rsid w:val="005F4E12"/>
    <w:rsid w:val="005F7B24"/>
    <w:rsid w:val="00610108"/>
    <w:rsid w:val="00611233"/>
    <w:rsid w:val="00627192"/>
    <w:rsid w:val="006403DC"/>
    <w:rsid w:val="00644877"/>
    <w:rsid w:val="00645A9A"/>
    <w:rsid w:val="00646783"/>
    <w:rsid w:val="00664479"/>
    <w:rsid w:val="006666A1"/>
    <w:rsid w:val="006675B5"/>
    <w:rsid w:val="006722F2"/>
    <w:rsid w:val="006850F4"/>
    <w:rsid w:val="006908C7"/>
    <w:rsid w:val="00693032"/>
    <w:rsid w:val="00697464"/>
    <w:rsid w:val="006A7739"/>
    <w:rsid w:val="006B4C5B"/>
    <w:rsid w:val="006B7A14"/>
    <w:rsid w:val="006B7F63"/>
    <w:rsid w:val="006D06BF"/>
    <w:rsid w:val="006D0A38"/>
    <w:rsid w:val="006D254B"/>
    <w:rsid w:val="006D6ACF"/>
    <w:rsid w:val="006E34FF"/>
    <w:rsid w:val="006E5364"/>
    <w:rsid w:val="006F2E9C"/>
    <w:rsid w:val="00705011"/>
    <w:rsid w:val="00725460"/>
    <w:rsid w:val="007254B4"/>
    <w:rsid w:val="00732173"/>
    <w:rsid w:val="00743B65"/>
    <w:rsid w:val="007556E8"/>
    <w:rsid w:val="00765582"/>
    <w:rsid w:val="007669A6"/>
    <w:rsid w:val="00772985"/>
    <w:rsid w:val="00774040"/>
    <w:rsid w:val="00780965"/>
    <w:rsid w:val="00790753"/>
    <w:rsid w:val="0079291C"/>
    <w:rsid w:val="007A0E7A"/>
    <w:rsid w:val="007A4757"/>
    <w:rsid w:val="007B0F9A"/>
    <w:rsid w:val="007B21D3"/>
    <w:rsid w:val="007C038B"/>
    <w:rsid w:val="007C2AA1"/>
    <w:rsid w:val="007C3B52"/>
    <w:rsid w:val="007C554F"/>
    <w:rsid w:val="007C7E38"/>
    <w:rsid w:val="007D29F8"/>
    <w:rsid w:val="007D5222"/>
    <w:rsid w:val="007E5159"/>
    <w:rsid w:val="007E7739"/>
    <w:rsid w:val="007E7E08"/>
    <w:rsid w:val="007F64C3"/>
    <w:rsid w:val="0080312A"/>
    <w:rsid w:val="00810ED9"/>
    <w:rsid w:val="00811909"/>
    <w:rsid w:val="00811E26"/>
    <w:rsid w:val="008151F7"/>
    <w:rsid w:val="0082673E"/>
    <w:rsid w:val="00830545"/>
    <w:rsid w:val="00846E20"/>
    <w:rsid w:val="008677AA"/>
    <w:rsid w:val="0087170B"/>
    <w:rsid w:val="00872875"/>
    <w:rsid w:val="00874017"/>
    <w:rsid w:val="008801D0"/>
    <w:rsid w:val="00881253"/>
    <w:rsid w:val="008843F7"/>
    <w:rsid w:val="0089271D"/>
    <w:rsid w:val="008946A8"/>
    <w:rsid w:val="0089644C"/>
    <w:rsid w:val="008A151C"/>
    <w:rsid w:val="008A3F22"/>
    <w:rsid w:val="008A4FF1"/>
    <w:rsid w:val="008B1F79"/>
    <w:rsid w:val="008B4702"/>
    <w:rsid w:val="008B7912"/>
    <w:rsid w:val="008C28D7"/>
    <w:rsid w:val="008C6C2D"/>
    <w:rsid w:val="008C70D4"/>
    <w:rsid w:val="008D687C"/>
    <w:rsid w:val="008E48EE"/>
    <w:rsid w:val="008F6AF0"/>
    <w:rsid w:val="00901D2B"/>
    <w:rsid w:val="009043CC"/>
    <w:rsid w:val="00904E04"/>
    <w:rsid w:val="009160FD"/>
    <w:rsid w:val="0092105C"/>
    <w:rsid w:val="009250C3"/>
    <w:rsid w:val="00926193"/>
    <w:rsid w:val="00937674"/>
    <w:rsid w:val="00940BD0"/>
    <w:rsid w:val="009667EE"/>
    <w:rsid w:val="0097123C"/>
    <w:rsid w:val="00976B5A"/>
    <w:rsid w:val="009846DF"/>
    <w:rsid w:val="0099298F"/>
    <w:rsid w:val="009966B9"/>
    <w:rsid w:val="00996C33"/>
    <w:rsid w:val="009B2D95"/>
    <w:rsid w:val="009B5B3A"/>
    <w:rsid w:val="009D0EA2"/>
    <w:rsid w:val="009E6E62"/>
    <w:rsid w:val="00A1205D"/>
    <w:rsid w:val="00A327CE"/>
    <w:rsid w:val="00A32DEA"/>
    <w:rsid w:val="00A46659"/>
    <w:rsid w:val="00A60F87"/>
    <w:rsid w:val="00A71ACD"/>
    <w:rsid w:val="00A73139"/>
    <w:rsid w:val="00A73999"/>
    <w:rsid w:val="00A75D3E"/>
    <w:rsid w:val="00A77BF8"/>
    <w:rsid w:val="00A900EA"/>
    <w:rsid w:val="00A92A72"/>
    <w:rsid w:val="00A93F33"/>
    <w:rsid w:val="00A94BC4"/>
    <w:rsid w:val="00AA0678"/>
    <w:rsid w:val="00AA2898"/>
    <w:rsid w:val="00AA5897"/>
    <w:rsid w:val="00AB1A7F"/>
    <w:rsid w:val="00AB28CC"/>
    <w:rsid w:val="00AC07D4"/>
    <w:rsid w:val="00AC1BFA"/>
    <w:rsid w:val="00AD2D24"/>
    <w:rsid w:val="00AE5667"/>
    <w:rsid w:val="00AE6569"/>
    <w:rsid w:val="00AF4CA6"/>
    <w:rsid w:val="00AF510D"/>
    <w:rsid w:val="00B10757"/>
    <w:rsid w:val="00B12C9E"/>
    <w:rsid w:val="00B16287"/>
    <w:rsid w:val="00B32B34"/>
    <w:rsid w:val="00B37C91"/>
    <w:rsid w:val="00B40EBF"/>
    <w:rsid w:val="00B41E2C"/>
    <w:rsid w:val="00B53FB5"/>
    <w:rsid w:val="00B5774A"/>
    <w:rsid w:val="00B61126"/>
    <w:rsid w:val="00B6237C"/>
    <w:rsid w:val="00B7391F"/>
    <w:rsid w:val="00B744E9"/>
    <w:rsid w:val="00B827AD"/>
    <w:rsid w:val="00B84917"/>
    <w:rsid w:val="00B86C11"/>
    <w:rsid w:val="00B90CE5"/>
    <w:rsid w:val="00B9361B"/>
    <w:rsid w:val="00B95DE2"/>
    <w:rsid w:val="00B96C47"/>
    <w:rsid w:val="00BA423D"/>
    <w:rsid w:val="00BB2C06"/>
    <w:rsid w:val="00BB334F"/>
    <w:rsid w:val="00BC74EB"/>
    <w:rsid w:val="00BD469A"/>
    <w:rsid w:val="00BD4A78"/>
    <w:rsid w:val="00BE3C2D"/>
    <w:rsid w:val="00BF7233"/>
    <w:rsid w:val="00C0433E"/>
    <w:rsid w:val="00C046C2"/>
    <w:rsid w:val="00C0694D"/>
    <w:rsid w:val="00C10A93"/>
    <w:rsid w:val="00C15301"/>
    <w:rsid w:val="00C15DE8"/>
    <w:rsid w:val="00C27076"/>
    <w:rsid w:val="00C31EAF"/>
    <w:rsid w:val="00C31F14"/>
    <w:rsid w:val="00C34D1A"/>
    <w:rsid w:val="00C36963"/>
    <w:rsid w:val="00C37B91"/>
    <w:rsid w:val="00C51FF1"/>
    <w:rsid w:val="00C56909"/>
    <w:rsid w:val="00C609C3"/>
    <w:rsid w:val="00C60AFC"/>
    <w:rsid w:val="00C6434D"/>
    <w:rsid w:val="00C66D9D"/>
    <w:rsid w:val="00C72C11"/>
    <w:rsid w:val="00C7444E"/>
    <w:rsid w:val="00C77AAC"/>
    <w:rsid w:val="00C82E8D"/>
    <w:rsid w:val="00C874A9"/>
    <w:rsid w:val="00C97D70"/>
    <w:rsid w:val="00CA2080"/>
    <w:rsid w:val="00CA41D7"/>
    <w:rsid w:val="00CA491A"/>
    <w:rsid w:val="00CB6040"/>
    <w:rsid w:val="00CB7B17"/>
    <w:rsid w:val="00CC12A9"/>
    <w:rsid w:val="00CD2130"/>
    <w:rsid w:val="00CD579B"/>
    <w:rsid w:val="00CE2771"/>
    <w:rsid w:val="00CE66A2"/>
    <w:rsid w:val="00CF463A"/>
    <w:rsid w:val="00D060D1"/>
    <w:rsid w:val="00D10F90"/>
    <w:rsid w:val="00D11AA1"/>
    <w:rsid w:val="00D11BB3"/>
    <w:rsid w:val="00D156BA"/>
    <w:rsid w:val="00D57776"/>
    <w:rsid w:val="00D6481C"/>
    <w:rsid w:val="00D7235D"/>
    <w:rsid w:val="00D726B3"/>
    <w:rsid w:val="00D741CC"/>
    <w:rsid w:val="00D81625"/>
    <w:rsid w:val="00D914D6"/>
    <w:rsid w:val="00D919E8"/>
    <w:rsid w:val="00D96529"/>
    <w:rsid w:val="00DA4C92"/>
    <w:rsid w:val="00DB033B"/>
    <w:rsid w:val="00DB3BD1"/>
    <w:rsid w:val="00DB7A78"/>
    <w:rsid w:val="00DC2D7D"/>
    <w:rsid w:val="00DC3802"/>
    <w:rsid w:val="00DD61E3"/>
    <w:rsid w:val="00DE327E"/>
    <w:rsid w:val="00DE4159"/>
    <w:rsid w:val="00DF26D8"/>
    <w:rsid w:val="00DF392E"/>
    <w:rsid w:val="00E05117"/>
    <w:rsid w:val="00E10029"/>
    <w:rsid w:val="00E2010C"/>
    <w:rsid w:val="00E2764D"/>
    <w:rsid w:val="00E31B0F"/>
    <w:rsid w:val="00E35952"/>
    <w:rsid w:val="00E369E2"/>
    <w:rsid w:val="00E41EBB"/>
    <w:rsid w:val="00E44623"/>
    <w:rsid w:val="00E500E7"/>
    <w:rsid w:val="00E60A9D"/>
    <w:rsid w:val="00E93D07"/>
    <w:rsid w:val="00EB263B"/>
    <w:rsid w:val="00EB6776"/>
    <w:rsid w:val="00EC2100"/>
    <w:rsid w:val="00EC7D17"/>
    <w:rsid w:val="00ED4DE2"/>
    <w:rsid w:val="00EE5F25"/>
    <w:rsid w:val="00EE6F4F"/>
    <w:rsid w:val="00EF0610"/>
    <w:rsid w:val="00EF2229"/>
    <w:rsid w:val="00F06012"/>
    <w:rsid w:val="00F17B01"/>
    <w:rsid w:val="00F211A5"/>
    <w:rsid w:val="00F2506E"/>
    <w:rsid w:val="00F255FE"/>
    <w:rsid w:val="00F32EAA"/>
    <w:rsid w:val="00F366C7"/>
    <w:rsid w:val="00F43341"/>
    <w:rsid w:val="00F466E2"/>
    <w:rsid w:val="00F568D9"/>
    <w:rsid w:val="00F703E7"/>
    <w:rsid w:val="00FA251D"/>
    <w:rsid w:val="00FA4872"/>
    <w:rsid w:val="00FA5FFC"/>
    <w:rsid w:val="00FB292D"/>
    <w:rsid w:val="00FC433E"/>
    <w:rsid w:val="00FC56B7"/>
    <w:rsid w:val="00FD378C"/>
    <w:rsid w:val="00FD3C71"/>
    <w:rsid w:val="00FD43EC"/>
    <w:rsid w:val="00FD5911"/>
    <w:rsid w:val="00FE2EA6"/>
    <w:rsid w:val="00FE3C75"/>
    <w:rsid w:val="00FE500F"/>
    <w:rsid w:val="00FE77AF"/>
    <w:rsid w:val="00FE799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40E9C9E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fr-FR"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51F7"/>
    <w:pPr>
      <w:spacing w:before="60" w:after="120"/>
      <w:jc w:val="both"/>
    </w:pPr>
    <w:rPr>
      <w:rFonts w:ascii="Times New Roman" w:hAnsi="Times New Roman"/>
      <w:sz w:val="24"/>
      <w:szCs w:val="24"/>
      <w:lang w:eastAsia="en-GB"/>
    </w:rPr>
  </w:style>
  <w:style w:type="paragraph" w:styleId="Heading1">
    <w:name w:val="heading 1"/>
    <w:basedOn w:val="Normal"/>
    <w:next w:val="Normal"/>
    <w:link w:val="Heading1Char"/>
    <w:uiPriority w:val="99"/>
    <w:qFormat/>
    <w:rsid w:val="001F7F7B"/>
    <w:pPr>
      <w:keepNext/>
      <w:keepLines/>
      <w:spacing w:before="480" w:after="0"/>
      <w:outlineLvl w:val="0"/>
    </w:pPr>
    <w:rPr>
      <w:rFonts w:ascii="Cambria" w:hAnsi="Cambria"/>
      <w:b/>
      <w:bCs/>
      <w:color w:val="365F91"/>
      <w:sz w:val="32"/>
      <w:szCs w:val="32"/>
      <w:lang w:eastAsia="en-US"/>
    </w:rPr>
  </w:style>
  <w:style w:type="paragraph" w:styleId="Heading2">
    <w:name w:val="heading 2"/>
    <w:basedOn w:val="Normal"/>
    <w:next w:val="Normal"/>
    <w:link w:val="Heading2Char"/>
    <w:uiPriority w:val="99"/>
    <w:qFormat/>
    <w:rsid w:val="001F7F7B"/>
    <w:pPr>
      <w:keepNext/>
      <w:keepLines/>
      <w:spacing w:before="120" w:after="0"/>
      <w:ind w:left="646" w:hanging="504"/>
      <w:outlineLvl w:val="1"/>
    </w:pPr>
    <w:rPr>
      <w:b/>
      <w:bCs/>
    </w:rPr>
  </w:style>
  <w:style w:type="paragraph" w:styleId="Heading3">
    <w:name w:val="heading 3"/>
    <w:basedOn w:val="Normal"/>
    <w:next w:val="Normal"/>
    <w:link w:val="Heading3Char"/>
    <w:uiPriority w:val="99"/>
    <w:qFormat/>
    <w:rsid w:val="001F7F7B"/>
    <w:pPr>
      <w:keepNext/>
      <w:keepLines/>
      <w:spacing w:before="200" w:after="0"/>
      <w:outlineLvl w:val="2"/>
    </w:pPr>
    <w:rPr>
      <w:rFonts w:ascii="Cambria" w:hAnsi="Cambria"/>
      <w:b/>
      <w:bCs/>
      <w:color w:val="4F81BD"/>
      <w:sz w:val="22"/>
      <w:szCs w:val="22"/>
      <w:lang w:eastAsia="en-US"/>
    </w:rPr>
  </w:style>
  <w:style w:type="paragraph" w:styleId="Heading4">
    <w:name w:val="heading 4"/>
    <w:basedOn w:val="Normal"/>
    <w:next w:val="Normal"/>
    <w:link w:val="Heading4Char"/>
    <w:uiPriority w:val="99"/>
    <w:qFormat/>
    <w:rsid w:val="001F7F7B"/>
    <w:pPr>
      <w:keepNext/>
      <w:keepLines/>
      <w:spacing w:before="200" w:after="0"/>
      <w:outlineLvl w:val="3"/>
    </w:pPr>
    <w:rPr>
      <w:rFonts w:ascii="Cambria" w:hAnsi="Cambria"/>
      <w:b/>
      <w:bCs/>
      <w:i/>
      <w:iCs/>
      <w:color w:val="4F81BD"/>
      <w:sz w:val="22"/>
      <w:szCs w:val="22"/>
      <w:lang w:eastAsia="en-US"/>
    </w:rPr>
  </w:style>
  <w:style w:type="paragraph" w:styleId="Heading5">
    <w:name w:val="heading 5"/>
    <w:basedOn w:val="Normal"/>
    <w:next w:val="Normal"/>
    <w:link w:val="Heading5Char"/>
    <w:uiPriority w:val="99"/>
    <w:qFormat/>
    <w:rsid w:val="001F7F7B"/>
    <w:pPr>
      <w:keepNext/>
      <w:keepLines/>
      <w:spacing w:before="200" w:after="0"/>
      <w:outlineLvl w:val="4"/>
    </w:pPr>
    <w:rPr>
      <w:rFonts w:ascii="Cambria" w:hAnsi="Cambria"/>
      <w:color w:val="243F60"/>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ource">
    <w:name w:val="Source"/>
    <w:basedOn w:val="Normal"/>
    <w:link w:val="SourceChar"/>
    <w:uiPriority w:val="99"/>
    <w:qFormat/>
    <w:rsid w:val="001F7F7B"/>
    <w:pPr>
      <w:spacing w:before="40" w:after="0"/>
      <w:ind w:left="680" w:hanging="680"/>
    </w:pPr>
    <w:rPr>
      <w:rFonts w:ascii="Arial" w:hAnsi="Arial"/>
      <w:szCs w:val="20"/>
      <w:lang w:eastAsia="el-GR"/>
    </w:rPr>
  </w:style>
  <w:style w:type="character" w:customStyle="1" w:styleId="SourceChar">
    <w:name w:val="Source Char"/>
    <w:link w:val="Source"/>
    <w:uiPriority w:val="99"/>
    <w:locked/>
    <w:rsid w:val="001F7F7B"/>
    <w:rPr>
      <w:rFonts w:ascii="Arial" w:hAnsi="Arial"/>
      <w:sz w:val="24"/>
      <w:szCs w:val="20"/>
      <w:lang w:eastAsia="el-GR"/>
    </w:rPr>
  </w:style>
  <w:style w:type="character" w:customStyle="1" w:styleId="Heading1Char">
    <w:name w:val="Heading 1 Char"/>
    <w:basedOn w:val="DefaultParagraphFont"/>
    <w:link w:val="Heading1"/>
    <w:uiPriority w:val="99"/>
    <w:rsid w:val="001F7F7B"/>
    <w:rPr>
      <w:rFonts w:ascii="Cambria" w:hAnsi="Cambria"/>
      <w:b/>
      <w:bCs/>
      <w:color w:val="365F91"/>
      <w:sz w:val="32"/>
      <w:szCs w:val="32"/>
    </w:rPr>
  </w:style>
  <w:style w:type="character" w:customStyle="1" w:styleId="Heading2Char">
    <w:name w:val="Heading 2 Char"/>
    <w:basedOn w:val="DefaultParagraphFont"/>
    <w:link w:val="Heading2"/>
    <w:uiPriority w:val="99"/>
    <w:rsid w:val="001F7F7B"/>
    <w:rPr>
      <w:rFonts w:ascii="Times New Roman" w:hAnsi="Times New Roman"/>
      <w:b/>
      <w:bCs/>
      <w:sz w:val="24"/>
      <w:szCs w:val="24"/>
      <w:lang w:eastAsia="en-GB"/>
    </w:rPr>
  </w:style>
  <w:style w:type="character" w:customStyle="1" w:styleId="Heading3Char">
    <w:name w:val="Heading 3 Char"/>
    <w:basedOn w:val="DefaultParagraphFont"/>
    <w:link w:val="Heading3"/>
    <w:uiPriority w:val="99"/>
    <w:rsid w:val="001F7F7B"/>
    <w:rPr>
      <w:rFonts w:ascii="Cambria" w:hAnsi="Cambria"/>
      <w:b/>
      <w:bCs/>
      <w:color w:val="4F81BD"/>
    </w:rPr>
  </w:style>
  <w:style w:type="character" w:customStyle="1" w:styleId="Heading4Char">
    <w:name w:val="Heading 4 Char"/>
    <w:basedOn w:val="DefaultParagraphFont"/>
    <w:link w:val="Heading4"/>
    <w:uiPriority w:val="99"/>
    <w:rsid w:val="001F7F7B"/>
    <w:rPr>
      <w:rFonts w:ascii="Cambria" w:hAnsi="Cambria"/>
      <w:b/>
      <w:bCs/>
      <w:i/>
      <w:iCs/>
      <w:color w:val="4F81BD"/>
    </w:rPr>
  </w:style>
  <w:style w:type="character" w:customStyle="1" w:styleId="Heading5Char">
    <w:name w:val="Heading 5 Char"/>
    <w:basedOn w:val="DefaultParagraphFont"/>
    <w:link w:val="Heading5"/>
    <w:uiPriority w:val="99"/>
    <w:rsid w:val="001F7F7B"/>
    <w:rPr>
      <w:rFonts w:ascii="Cambria" w:hAnsi="Cambria"/>
      <w:color w:val="243F60"/>
    </w:rPr>
  </w:style>
  <w:style w:type="paragraph" w:styleId="Caption">
    <w:name w:val="caption"/>
    <w:basedOn w:val="Normal"/>
    <w:next w:val="Normal"/>
    <w:link w:val="CaptionChar"/>
    <w:uiPriority w:val="99"/>
    <w:qFormat/>
    <w:rsid w:val="001F7F7B"/>
    <w:pPr>
      <w:keepNext/>
      <w:spacing w:before="360"/>
      <w:ind w:left="1049" w:hanging="1049"/>
    </w:pPr>
    <w:rPr>
      <w:rFonts w:ascii="Arial" w:hAnsi="Arial"/>
      <w:b/>
      <w:szCs w:val="22"/>
      <w:lang w:eastAsia="el-GR"/>
    </w:rPr>
  </w:style>
  <w:style w:type="character" w:customStyle="1" w:styleId="CaptionChar">
    <w:name w:val="Caption Char"/>
    <w:link w:val="Caption"/>
    <w:uiPriority w:val="99"/>
    <w:locked/>
    <w:rsid w:val="001F7F7B"/>
    <w:rPr>
      <w:rFonts w:ascii="Arial" w:hAnsi="Arial"/>
      <w:b/>
      <w:sz w:val="24"/>
      <w:lang w:eastAsia="el-GR"/>
    </w:rPr>
  </w:style>
  <w:style w:type="character" w:styleId="Strong">
    <w:name w:val="Strong"/>
    <w:basedOn w:val="DefaultParagraphFont"/>
    <w:uiPriority w:val="22"/>
    <w:qFormat/>
    <w:rsid w:val="001F7F7B"/>
    <w:rPr>
      <w:rFonts w:ascii="Times New Roman" w:hAnsi="Times New Roman" w:cs="Times New Roman" w:hint="default"/>
      <w:b/>
      <w:bCs/>
    </w:rPr>
  </w:style>
  <w:style w:type="paragraph" w:styleId="ListParagraph">
    <w:name w:val="List Paragraph"/>
    <w:basedOn w:val="Normal"/>
    <w:uiPriority w:val="34"/>
    <w:qFormat/>
    <w:rsid w:val="001F7F7B"/>
    <w:pPr>
      <w:ind w:left="720"/>
      <w:contextualSpacing/>
    </w:pPr>
  </w:style>
  <w:style w:type="paragraph" w:styleId="Quote">
    <w:name w:val="Quote"/>
    <w:basedOn w:val="Normal"/>
    <w:next w:val="Normal"/>
    <w:link w:val="QuoteChar"/>
    <w:uiPriority w:val="99"/>
    <w:qFormat/>
    <w:rsid w:val="001F7F7B"/>
    <w:rPr>
      <w:rFonts w:ascii="Calibri" w:hAnsi="Calibri"/>
      <w:i/>
      <w:iCs/>
      <w:color w:val="000000"/>
      <w:sz w:val="22"/>
      <w:szCs w:val="22"/>
      <w:lang w:eastAsia="ja-JP"/>
    </w:rPr>
  </w:style>
  <w:style w:type="character" w:customStyle="1" w:styleId="QuoteChar">
    <w:name w:val="Quote Char"/>
    <w:basedOn w:val="DefaultParagraphFont"/>
    <w:link w:val="Quote"/>
    <w:uiPriority w:val="99"/>
    <w:rsid w:val="001F7F7B"/>
    <w:rPr>
      <w:i/>
      <w:iCs/>
      <w:color w:val="000000"/>
      <w:lang w:val="fr-FR" w:eastAsia="ja-JP"/>
    </w:rPr>
  </w:style>
  <w:style w:type="paragraph" w:styleId="TOCHeading">
    <w:name w:val="TOC Heading"/>
    <w:basedOn w:val="Heading1"/>
    <w:next w:val="Normal"/>
    <w:uiPriority w:val="99"/>
    <w:qFormat/>
    <w:rsid w:val="001F7F7B"/>
    <w:pPr>
      <w:outlineLvl w:val="9"/>
    </w:pPr>
    <w:rPr>
      <w:lang w:eastAsia="ja-JP"/>
    </w:rPr>
  </w:style>
  <w:style w:type="paragraph" w:styleId="Header">
    <w:name w:val="header"/>
    <w:basedOn w:val="Normal"/>
    <w:link w:val="HeaderChar"/>
    <w:uiPriority w:val="99"/>
    <w:unhideWhenUsed/>
    <w:rsid w:val="008151F7"/>
    <w:pPr>
      <w:tabs>
        <w:tab w:val="center" w:pos="4513"/>
        <w:tab w:val="right" w:pos="9026"/>
      </w:tabs>
      <w:spacing w:before="0" w:after="0"/>
    </w:pPr>
  </w:style>
  <w:style w:type="character" w:customStyle="1" w:styleId="HeaderChar">
    <w:name w:val="Header Char"/>
    <w:basedOn w:val="DefaultParagraphFont"/>
    <w:link w:val="Header"/>
    <w:uiPriority w:val="99"/>
    <w:rsid w:val="008151F7"/>
    <w:rPr>
      <w:rFonts w:ascii="Times New Roman" w:hAnsi="Times New Roman"/>
      <w:sz w:val="24"/>
      <w:szCs w:val="24"/>
      <w:lang w:eastAsia="en-GB"/>
    </w:rPr>
  </w:style>
  <w:style w:type="paragraph" w:styleId="Footer">
    <w:name w:val="footer"/>
    <w:basedOn w:val="Normal"/>
    <w:link w:val="FooterChar"/>
    <w:uiPriority w:val="99"/>
    <w:unhideWhenUsed/>
    <w:rsid w:val="008151F7"/>
    <w:pPr>
      <w:tabs>
        <w:tab w:val="center" w:pos="4513"/>
        <w:tab w:val="right" w:pos="9026"/>
      </w:tabs>
      <w:spacing w:before="0" w:after="0"/>
    </w:pPr>
  </w:style>
  <w:style w:type="character" w:customStyle="1" w:styleId="FooterChar">
    <w:name w:val="Footer Char"/>
    <w:basedOn w:val="DefaultParagraphFont"/>
    <w:link w:val="Footer"/>
    <w:uiPriority w:val="99"/>
    <w:rsid w:val="008151F7"/>
    <w:rPr>
      <w:rFonts w:ascii="Times New Roman" w:hAnsi="Times New Roman"/>
      <w:sz w:val="24"/>
      <w:szCs w:val="24"/>
      <w:lang w:eastAsia="en-GB"/>
    </w:rPr>
  </w:style>
  <w:style w:type="character" w:customStyle="1" w:styleId="FootnoteTextChar">
    <w:name w:val="Footnote Text Char"/>
    <w:aliases w:val="Tekst fusnote Char2 Char Char,Tekst fusnote Char1 Char1 Char Char,Tekst fusnote Char Char Char1 Char Char,Tekst fusnote Char1 Char Char Char Char Char,Tekst fusnote Char Char Char Char Char Char Char,fn Char,Fußnote Char"/>
    <w:basedOn w:val="DefaultParagraphFont"/>
    <w:link w:val="FootnoteText"/>
    <w:uiPriority w:val="99"/>
    <w:semiHidden/>
    <w:locked/>
    <w:rsid w:val="00A32DEA"/>
    <w:rPr>
      <w:sz w:val="20"/>
    </w:rPr>
  </w:style>
  <w:style w:type="paragraph" w:styleId="FootnoteText">
    <w:name w:val="footnote text"/>
    <w:aliases w:val="Tekst fusnote Char2 Char,Tekst fusnote Char1 Char1 Char,Tekst fusnote Char Char Char1 Char,Tekst fusnote Char1 Char Char Char Char,Tekst fusnote Char Char Char Char Char Char,Tekst fusnote Char Char1 Char Char,fn,Fußnote,Footnote Text Blue"/>
    <w:basedOn w:val="Normal"/>
    <w:link w:val="FootnoteTextChar"/>
    <w:uiPriority w:val="99"/>
    <w:semiHidden/>
    <w:unhideWhenUsed/>
    <w:qFormat/>
    <w:rsid w:val="00A32DEA"/>
    <w:pPr>
      <w:spacing w:before="0"/>
      <w:ind w:left="357" w:hanging="357"/>
    </w:pPr>
    <w:rPr>
      <w:rFonts w:ascii="Calibri" w:hAnsi="Calibri"/>
      <w:sz w:val="20"/>
      <w:szCs w:val="22"/>
      <w:lang w:eastAsia="en-US"/>
    </w:rPr>
  </w:style>
  <w:style w:type="character" w:customStyle="1" w:styleId="FootnoteTextChar1">
    <w:name w:val="Footnote Text Char1"/>
    <w:basedOn w:val="DefaultParagraphFont"/>
    <w:uiPriority w:val="99"/>
    <w:semiHidden/>
    <w:rsid w:val="00A32DEA"/>
    <w:rPr>
      <w:rFonts w:ascii="Times New Roman" w:hAnsi="Times New Roman"/>
      <w:sz w:val="20"/>
      <w:szCs w:val="20"/>
      <w:lang w:eastAsia="en-GB"/>
    </w:rPr>
  </w:style>
  <w:style w:type="paragraph" w:customStyle="1" w:styleId="Text1">
    <w:name w:val="Text 1"/>
    <w:basedOn w:val="Normal"/>
    <w:qFormat/>
    <w:rsid w:val="00A32DEA"/>
    <w:pPr>
      <w:spacing w:before="0" w:after="240"/>
      <w:ind w:left="482"/>
    </w:pPr>
    <w:rPr>
      <w:szCs w:val="20"/>
    </w:rPr>
  </w:style>
  <w:style w:type="character" w:styleId="FootnoteReference">
    <w:name w:val="footnote reference"/>
    <w:aliases w:val="Footnote symbol,Odwołanie przypisu,Footnote Reference Number,Footnote Reference Superscript,SUPERS,Times 10 Point,Exposant 3 Point,Footnote,Ref,de nota al pie,-E Fußnotenzeichen,ftref,number,stylish,fr,Footnote Char"/>
    <w:basedOn w:val="DefaultParagraphFont"/>
    <w:link w:val="FootnoteReferenceLVL6"/>
    <w:uiPriority w:val="99"/>
    <w:unhideWhenUsed/>
    <w:qFormat/>
    <w:rsid w:val="00A32DEA"/>
    <w:rPr>
      <w:vertAlign w:val="superscript"/>
    </w:rPr>
  </w:style>
  <w:style w:type="paragraph" w:customStyle="1" w:styleId="FootnoteReferenceLVL6">
    <w:name w:val="Footnote Reference_LVL6"/>
    <w:aliases w:val="Footnote Reference_LVL61,Footnote Reference_LVL62,Footnote Reference_LVL63,Footnote Reference_LVL64,Odwo&lt;0142&gt;anie przypisu,SUPER,BVI fnr Char1 Char"/>
    <w:basedOn w:val="Normal"/>
    <w:next w:val="Normal"/>
    <w:link w:val="FootnoteReference"/>
    <w:uiPriority w:val="99"/>
    <w:rsid w:val="00A32DEA"/>
    <w:pPr>
      <w:spacing w:before="0" w:after="160" w:line="240" w:lineRule="exact"/>
    </w:pPr>
    <w:rPr>
      <w:rFonts w:ascii="Calibri" w:hAnsi="Calibri"/>
      <w:sz w:val="22"/>
      <w:szCs w:val="22"/>
      <w:vertAlign w:val="superscript"/>
      <w:lang w:eastAsia="en-US"/>
    </w:rPr>
  </w:style>
  <w:style w:type="paragraph" w:styleId="Subtitle">
    <w:name w:val="Subtitle"/>
    <w:basedOn w:val="Normal"/>
    <w:next w:val="Normal"/>
    <w:link w:val="SubtitleChar"/>
    <w:qFormat/>
    <w:rsid w:val="00115FFB"/>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115FFB"/>
    <w:rPr>
      <w:rFonts w:asciiTheme="minorHAnsi" w:eastAsiaTheme="minorEastAsia" w:hAnsiTheme="minorHAnsi" w:cstheme="minorBidi"/>
      <w:color w:val="5A5A5A" w:themeColor="text1" w:themeTint="A5"/>
      <w:spacing w:val="15"/>
      <w:lang w:eastAsia="en-GB"/>
    </w:rPr>
  </w:style>
  <w:style w:type="paragraph" w:styleId="BalloonText">
    <w:name w:val="Balloon Text"/>
    <w:basedOn w:val="Normal"/>
    <w:link w:val="BalloonTextChar"/>
    <w:uiPriority w:val="99"/>
    <w:semiHidden/>
    <w:unhideWhenUsed/>
    <w:rsid w:val="009966B9"/>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66B9"/>
    <w:rPr>
      <w:rFonts w:ascii="Segoe UI" w:hAnsi="Segoe UI" w:cs="Segoe UI"/>
      <w:sz w:val="18"/>
      <w:szCs w:val="18"/>
      <w:lang w:eastAsia="en-GB"/>
    </w:rPr>
  </w:style>
  <w:style w:type="character" w:styleId="CommentReference">
    <w:name w:val="annotation reference"/>
    <w:basedOn w:val="DefaultParagraphFont"/>
    <w:uiPriority w:val="99"/>
    <w:semiHidden/>
    <w:unhideWhenUsed/>
    <w:rsid w:val="009966B9"/>
    <w:rPr>
      <w:sz w:val="16"/>
      <w:szCs w:val="16"/>
    </w:rPr>
  </w:style>
  <w:style w:type="paragraph" w:styleId="CommentText">
    <w:name w:val="annotation text"/>
    <w:basedOn w:val="Normal"/>
    <w:link w:val="CommentTextChar"/>
    <w:uiPriority w:val="99"/>
    <w:unhideWhenUsed/>
    <w:rsid w:val="009966B9"/>
    <w:rPr>
      <w:sz w:val="20"/>
      <w:szCs w:val="20"/>
    </w:rPr>
  </w:style>
  <w:style w:type="character" w:customStyle="1" w:styleId="CommentTextChar">
    <w:name w:val="Comment Text Char"/>
    <w:basedOn w:val="DefaultParagraphFont"/>
    <w:link w:val="CommentText"/>
    <w:uiPriority w:val="99"/>
    <w:rsid w:val="009966B9"/>
    <w:rPr>
      <w:rFonts w:ascii="Times New Roman" w:hAnsi="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966B9"/>
    <w:rPr>
      <w:b/>
      <w:bCs/>
    </w:rPr>
  </w:style>
  <w:style w:type="character" w:customStyle="1" w:styleId="CommentSubjectChar">
    <w:name w:val="Comment Subject Char"/>
    <w:basedOn w:val="CommentTextChar"/>
    <w:link w:val="CommentSubject"/>
    <w:uiPriority w:val="99"/>
    <w:semiHidden/>
    <w:rsid w:val="009966B9"/>
    <w:rPr>
      <w:rFonts w:ascii="Times New Roman" w:hAnsi="Times New Roman"/>
      <w:b/>
      <w:bCs/>
      <w:sz w:val="20"/>
      <w:szCs w:val="20"/>
      <w:lang w:eastAsia="en-GB"/>
    </w:rPr>
  </w:style>
  <w:style w:type="table" w:styleId="TableGrid">
    <w:name w:val="Table Grid"/>
    <w:basedOn w:val="TableNormal"/>
    <w:uiPriority w:val="59"/>
    <w:rsid w:val="00B12C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3-Accent21">
    <w:name w:val="Grid Table 3 - Accent 21"/>
    <w:basedOn w:val="TableNormal"/>
    <w:uiPriority w:val="48"/>
    <w:rsid w:val="00FC433E"/>
    <w:rPr>
      <w:rFonts w:asciiTheme="minorHAnsi" w:eastAsiaTheme="minorHAnsi" w:hAnsiTheme="minorHAnsi" w:cstheme="minorBidi"/>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1Light-Accent3">
    <w:name w:val="Grid Table 1 Light Accent 3"/>
    <w:basedOn w:val="TableNormal"/>
    <w:uiPriority w:val="46"/>
    <w:rsid w:val="005340F3"/>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5340F3"/>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3-Accent5">
    <w:name w:val="Grid Table 3 Accent 5"/>
    <w:basedOn w:val="TableNormal"/>
    <w:uiPriority w:val="48"/>
    <w:rsid w:val="005340F3"/>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5Dark-Accent5">
    <w:name w:val="Grid Table 5 Dark Accent 5"/>
    <w:basedOn w:val="TableNormal"/>
    <w:uiPriority w:val="50"/>
    <w:rsid w:val="005340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ListTable5Dark-Accent5">
    <w:name w:val="List Table 5 Dark Accent 5"/>
    <w:basedOn w:val="TableNormal"/>
    <w:uiPriority w:val="50"/>
    <w:rsid w:val="005340F3"/>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customStyle="1" w:styleId="highlight">
    <w:name w:val="highlight"/>
    <w:basedOn w:val="DefaultParagraphFont"/>
    <w:rsid w:val="00A327CE"/>
  </w:style>
  <w:style w:type="paragraph" w:customStyle="1" w:styleId="Briefinglist1">
    <w:name w:val="Briefing list 1"/>
    <w:basedOn w:val="Normal"/>
    <w:rsid w:val="00C66D9D"/>
    <w:pPr>
      <w:keepLines/>
      <w:numPr>
        <w:numId w:val="1"/>
      </w:numPr>
      <w:spacing w:before="0"/>
    </w:pPr>
    <w:rPr>
      <w:rFonts w:ascii="Arial" w:hAnsi="Arial" w:cs="Arial"/>
      <w:sz w:val="22"/>
      <w:lang w:eastAsia="en-US"/>
    </w:rPr>
  </w:style>
  <w:style w:type="paragraph" w:customStyle="1" w:styleId="Briefingtext">
    <w:name w:val="Briefing text"/>
    <w:basedOn w:val="Normal"/>
    <w:rsid w:val="00F366C7"/>
    <w:pPr>
      <w:spacing w:before="0" w:after="240" w:line="256" w:lineRule="auto"/>
    </w:pPr>
    <w:rPr>
      <w:rFonts w:ascii="Arial" w:hAnsi="Arial" w:cs="Arial"/>
      <w:color w:val="000000"/>
      <w:kern w:val="28"/>
      <w:sz w:val="22"/>
      <w:szCs w:val="22"/>
      <w14:ligatures w14:val="standard"/>
      <w14:cntxtAlt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140894">
      <w:bodyDiv w:val="1"/>
      <w:marLeft w:val="0"/>
      <w:marRight w:val="0"/>
      <w:marTop w:val="0"/>
      <w:marBottom w:val="0"/>
      <w:divBdr>
        <w:top w:val="none" w:sz="0" w:space="0" w:color="auto"/>
        <w:left w:val="none" w:sz="0" w:space="0" w:color="auto"/>
        <w:bottom w:val="none" w:sz="0" w:space="0" w:color="auto"/>
        <w:right w:val="none" w:sz="0" w:space="0" w:color="auto"/>
      </w:divBdr>
    </w:div>
    <w:div w:id="209611096">
      <w:bodyDiv w:val="1"/>
      <w:marLeft w:val="0"/>
      <w:marRight w:val="0"/>
      <w:marTop w:val="0"/>
      <w:marBottom w:val="0"/>
      <w:divBdr>
        <w:top w:val="none" w:sz="0" w:space="0" w:color="auto"/>
        <w:left w:val="none" w:sz="0" w:space="0" w:color="auto"/>
        <w:bottom w:val="none" w:sz="0" w:space="0" w:color="auto"/>
        <w:right w:val="none" w:sz="0" w:space="0" w:color="auto"/>
      </w:divBdr>
    </w:div>
    <w:div w:id="240146536">
      <w:bodyDiv w:val="1"/>
      <w:marLeft w:val="0"/>
      <w:marRight w:val="0"/>
      <w:marTop w:val="0"/>
      <w:marBottom w:val="0"/>
      <w:divBdr>
        <w:top w:val="none" w:sz="0" w:space="0" w:color="auto"/>
        <w:left w:val="none" w:sz="0" w:space="0" w:color="auto"/>
        <w:bottom w:val="none" w:sz="0" w:space="0" w:color="auto"/>
        <w:right w:val="none" w:sz="0" w:space="0" w:color="auto"/>
      </w:divBdr>
    </w:div>
    <w:div w:id="503015661">
      <w:bodyDiv w:val="1"/>
      <w:marLeft w:val="0"/>
      <w:marRight w:val="0"/>
      <w:marTop w:val="0"/>
      <w:marBottom w:val="0"/>
      <w:divBdr>
        <w:top w:val="none" w:sz="0" w:space="0" w:color="auto"/>
        <w:left w:val="none" w:sz="0" w:space="0" w:color="auto"/>
        <w:bottom w:val="none" w:sz="0" w:space="0" w:color="auto"/>
        <w:right w:val="none" w:sz="0" w:space="0" w:color="auto"/>
      </w:divBdr>
    </w:div>
    <w:div w:id="561991723">
      <w:bodyDiv w:val="1"/>
      <w:marLeft w:val="0"/>
      <w:marRight w:val="0"/>
      <w:marTop w:val="0"/>
      <w:marBottom w:val="0"/>
      <w:divBdr>
        <w:top w:val="none" w:sz="0" w:space="0" w:color="auto"/>
        <w:left w:val="none" w:sz="0" w:space="0" w:color="auto"/>
        <w:bottom w:val="none" w:sz="0" w:space="0" w:color="auto"/>
        <w:right w:val="none" w:sz="0" w:space="0" w:color="auto"/>
      </w:divBdr>
    </w:div>
    <w:div w:id="868492322">
      <w:bodyDiv w:val="1"/>
      <w:marLeft w:val="0"/>
      <w:marRight w:val="0"/>
      <w:marTop w:val="0"/>
      <w:marBottom w:val="0"/>
      <w:divBdr>
        <w:top w:val="none" w:sz="0" w:space="0" w:color="auto"/>
        <w:left w:val="none" w:sz="0" w:space="0" w:color="auto"/>
        <w:bottom w:val="none" w:sz="0" w:space="0" w:color="auto"/>
        <w:right w:val="none" w:sz="0" w:space="0" w:color="auto"/>
      </w:divBdr>
    </w:div>
    <w:div w:id="870847826">
      <w:bodyDiv w:val="1"/>
      <w:marLeft w:val="0"/>
      <w:marRight w:val="0"/>
      <w:marTop w:val="0"/>
      <w:marBottom w:val="0"/>
      <w:divBdr>
        <w:top w:val="none" w:sz="0" w:space="0" w:color="auto"/>
        <w:left w:val="none" w:sz="0" w:space="0" w:color="auto"/>
        <w:bottom w:val="none" w:sz="0" w:space="0" w:color="auto"/>
        <w:right w:val="none" w:sz="0" w:space="0" w:color="auto"/>
      </w:divBdr>
    </w:div>
    <w:div w:id="994071441">
      <w:bodyDiv w:val="1"/>
      <w:marLeft w:val="0"/>
      <w:marRight w:val="0"/>
      <w:marTop w:val="0"/>
      <w:marBottom w:val="0"/>
      <w:divBdr>
        <w:top w:val="none" w:sz="0" w:space="0" w:color="auto"/>
        <w:left w:val="none" w:sz="0" w:space="0" w:color="auto"/>
        <w:bottom w:val="none" w:sz="0" w:space="0" w:color="auto"/>
        <w:right w:val="none" w:sz="0" w:space="0" w:color="auto"/>
      </w:divBdr>
    </w:div>
    <w:div w:id="995303665">
      <w:bodyDiv w:val="1"/>
      <w:marLeft w:val="0"/>
      <w:marRight w:val="0"/>
      <w:marTop w:val="0"/>
      <w:marBottom w:val="0"/>
      <w:divBdr>
        <w:top w:val="none" w:sz="0" w:space="0" w:color="auto"/>
        <w:left w:val="none" w:sz="0" w:space="0" w:color="auto"/>
        <w:bottom w:val="none" w:sz="0" w:space="0" w:color="auto"/>
        <w:right w:val="none" w:sz="0" w:space="0" w:color="auto"/>
      </w:divBdr>
    </w:div>
    <w:div w:id="1023705043">
      <w:bodyDiv w:val="1"/>
      <w:marLeft w:val="0"/>
      <w:marRight w:val="0"/>
      <w:marTop w:val="0"/>
      <w:marBottom w:val="0"/>
      <w:divBdr>
        <w:top w:val="none" w:sz="0" w:space="0" w:color="auto"/>
        <w:left w:val="none" w:sz="0" w:space="0" w:color="auto"/>
        <w:bottom w:val="none" w:sz="0" w:space="0" w:color="auto"/>
        <w:right w:val="none" w:sz="0" w:space="0" w:color="auto"/>
      </w:divBdr>
    </w:div>
    <w:div w:id="1027870285">
      <w:bodyDiv w:val="1"/>
      <w:marLeft w:val="0"/>
      <w:marRight w:val="0"/>
      <w:marTop w:val="0"/>
      <w:marBottom w:val="0"/>
      <w:divBdr>
        <w:top w:val="none" w:sz="0" w:space="0" w:color="auto"/>
        <w:left w:val="none" w:sz="0" w:space="0" w:color="auto"/>
        <w:bottom w:val="none" w:sz="0" w:space="0" w:color="auto"/>
        <w:right w:val="none" w:sz="0" w:space="0" w:color="auto"/>
      </w:divBdr>
    </w:div>
    <w:div w:id="1493138053">
      <w:bodyDiv w:val="1"/>
      <w:marLeft w:val="0"/>
      <w:marRight w:val="0"/>
      <w:marTop w:val="0"/>
      <w:marBottom w:val="0"/>
      <w:divBdr>
        <w:top w:val="none" w:sz="0" w:space="0" w:color="auto"/>
        <w:left w:val="none" w:sz="0" w:space="0" w:color="auto"/>
        <w:bottom w:val="none" w:sz="0" w:space="0" w:color="auto"/>
        <w:right w:val="none" w:sz="0" w:space="0" w:color="auto"/>
      </w:divBdr>
    </w:div>
    <w:div w:id="1522284965">
      <w:bodyDiv w:val="1"/>
      <w:marLeft w:val="0"/>
      <w:marRight w:val="0"/>
      <w:marTop w:val="0"/>
      <w:marBottom w:val="0"/>
      <w:divBdr>
        <w:top w:val="none" w:sz="0" w:space="0" w:color="auto"/>
        <w:left w:val="none" w:sz="0" w:space="0" w:color="auto"/>
        <w:bottom w:val="none" w:sz="0" w:space="0" w:color="auto"/>
        <w:right w:val="none" w:sz="0" w:space="0" w:color="auto"/>
      </w:divBdr>
    </w:div>
    <w:div w:id="1626890285">
      <w:bodyDiv w:val="1"/>
      <w:marLeft w:val="0"/>
      <w:marRight w:val="0"/>
      <w:marTop w:val="0"/>
      <w:marBottom w:val="0"/>
      <w:divBdr>
        <w:top w:val="none" w:sz="0" w:space="0" w:color="auto"/>
        <w:left w:val="none" w:sz="0" w:space="0" w:color="auto"/>
        <w:bottom w:val="none" w:sz="0" w:space="0" w:color="auto"/>
        <w:right w:val="none" w:sz="0" w:space="0" w:color="auto"/>
      </w:divBdr>
    </w:div>
    <w:div w:id="1634361809">
      <w:bodyDiv w:val="1"/>
      <w:marLeft w:val="0"/>
      <w:marRight w:val="0"/>
      <w:marTop w:val="0"/>
      <w:marBottom w:val="0"/>
      <w:divBdr>
        <w:top w:val="none" w:sz="0" w:space="0" w:color="auto"/>
        <w:left w:val="none" w:sz="0" w:space="0" w:color="auto"/>
        <w:bottom w:val="none" w:sz="0" w:space="0" w:color="auto"/>
        <w:right w:val="none" w:sz="0" w:space="0" w:color="auto"/>
      </w:divBdr>
    </w:div>
    <w:div w:id="1638947482">
      <w:bodyDiv w:val="1"/>
      <w:marLeft w:val="0"/>
      <w:marRight w:val="0"/>
      <w:marTop w:val="0"/>
      <w:marBottom w:val="0"/>
      <w:divBdr>
        <w:top w:val="none" w:sz="0" w:space="0" w:color="auto"/>
        <w:left w:val="none" w:sz="0" w:space="0" w:color="auto"/>
        <w:bottom w:val="none" w:sz="0" w:space="0" w:color="auto"/>
        <w:right w:val="none" w:sz="0" w:space="0" w:color="auto"/>
      </w:divBdr>
    </w:div>
    <w:div w:id="1796026017">
      <w:bodyDiv w:val="1"/>
      <w:marLeft w:val="0"/>
      <w:marRight w:val="0"/>
      <w:marTop w:val="0"/>
      <w:marBottom w:val="0"/>
      <w:divBdr>
        <w:top w:val="none" w:sz="0" w:space="0" w:color="auto"/>
        <w:left w:val="none" w:sz="0" w:space="0" w:color="auto"/>
        <w:bottom w:val="none" w:sz="0" w:space="0" w:color="auto"/>
        <w:right w:val="none" w:sz="0" w:space="0" w:color="auto"/>
      </w:divBdr>
    </w:div>
    <w:div w:id="2026010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081208EEDCFC843807B22F6F2C1FEC1" ma:contentTypeVersion="15" ma:contentTypeDescription="Create a new document." ma:contentTypeScope="" ma:versionID="f00b3df5ab4125de076a6118af11f1a1">
  <xsd:schema xmlns:xsd="http://www.w3.org/2001/XMLSchema" xmlns:xs="http://www.w3.org/2001/XMLSchema" xmlns:p="http://schemas.microsoft.com/office/2006/metadata/properties" xmlns:ns2="d2efb67e-a73a-4854-91ed-02b4abe1649e" xmlns:ns3="1b1fca5a-21d0-43aa-863b-526438e901f5" targetNamespace="http://schemas.microsoft.com/office/2006/metadata/properties" ma:root="true" ma:fieldsID="c7f61680ea2bee05116aca8857cc1bb3" ns2:_="" ns3:_="">
    <xsd:import namespace="d2efb67e-a73a-4854-91ed-02b4abe1649e"/>
    <xsd:import namespace="1b1fca5a-21d0-43aa-863b-526438e901f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efb67e-a73a-4854-91ed-02b4abe164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5936872-4c25-49c5-bd5d-199fb01e78ed"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b1fca5a-21d0-43aa-863b-526438e901f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2efb67e-a73a-4854-91ed-02b4abe1649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94F5D37-F5A2-421B-8265-08122ADEE184}">
  <ds:schemaRefs>
    <ds:schemaRef ds:uri="http://schemas.openxmlformats.org/officeDocument/2006/bibliography"/>
  </ds:schemaRefs>
</ds:datastoreItem>
</file>

<file path=customXml/itemProps2.xml><?xml version="1.0" encoding="utf-8"?>
<ds:datastoreItem xmlns:ds="http://schemas.openxmlformats.org/officeDocument/2006/customXml" ds:itemID="{474FFF13-3DE8-40DC-BBCD-95CDB7F934FE}"/>
</file>

<file path=customXml/itemProps3.xml><?xml version="1.0" encoding="utf-8"?>
<ds:datastoreItem xmlns:ds="http://schemas.openxmlformats.org/officeDocument/2006/customXml" ds:itemID="{65F1AF4A-2154-471F-BFF4-1FB932D386E9}"/>
</file>

<file path=customXml/itemProps4.xml><?xml version="1.0" encoding="utf-8"?>
<ds:datastoreItem xmlns:ds="http://schemas.openxmlformats.org/officeDocument/2006/customXml" ds:itemID="{ACB18ABB-E98A-40A1-811E-D2D4E5DF9FDB}"/>
</file>

<file path=docProps/app.xml><?xml version="1.0" encoding="utf-8"?>
<Properties xmlns="http://schemas.openxmlformats.org/officeDocument/2006/extended-properties" xmlns:vt="http://schemas.openxmlformats.org/officeDocument/2006/docPropsVTypes">
  <Template>Normal</Template>
  <TotalTime>0</TotalTime>
  <Pages>7</Pages>
  <Words>1906</Words>
  <Characters>11230</Characters>
  <Application>Microsoft Office Word</Application>
  <DocSecurity>0</DocSecurity>
  <Lines>187</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2020-11-23T14:52:00Z</dcterms:created>
  <dcterms:modified xsi:type="dcterms:W3CDTF">2021-02-08T17:29:00Z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0x010100F081208EEDCFC843807B22F6F2C1FEC1</vt:lpwstr>
  </property>
</Properties>
</file>