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PAKT ZA ZNANJA IN SPRETNOSTI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 xml:space="preserve">Obstaja velik potencial za spodbujanje skupnih ukrepov, ki bi povečali učinek naložb v znanja in spretnosti. Politike in ukrepe na področju znanj in spretnosti oblikujejo številni akterji. Med tistimi, ki prispevajo k ustvarjanju in </w:t>
      </w:r>
      <w:proofErr w:type="spellStart"/>
      <w:r>
        <w:rPr>
          <w:rFonts w:ascii="EC Square Sans Pro" w:hAnsi="EC Square Sans Pro"/>
        </w:rPr>
        <w:t>preusposabljanju</w:t>
      </w:r>
      <w:proofErr w:type="spellEnd"/>
      <w:r>
        <w:rPr>
          <w:rFonts w:ascii="EC Square Sans Pro" w:hAnsi="EC Square Sans Pro"/>
        </w:rPr>
        <w:t xml:space="preserve"> resničnosti so podjetja, delavci, ponudniki izobraževanja in usposabljanja, državne, regionalne in lokalne oblasti, gospodarske zbornice in službe za zaposlovanje. Usklajena prizadevanja lahko posameznikom in podjetjem v vrednostni verigi zagotovijo preglednost, zmanjšajo stroške in se osredotočijo na prednostne naloge.</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Zato bo Komisija začela izvajati Pakt za znanja in spretnosti – skupna delovanje in pristop k razvoju znanj in spretnosti. Pakt je trdno povezan z načeli evropskega stebra socialnih pravic ter podpira cilje zelenega dogovora in digitalne preobrazbe, kot je določeno v sporočilu Komisije „Močna socialna Evropa za pravičen prehod“.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Namen pakta je mobilizirati in spodbuditi zasebne in javne deležnike, da sprejmejo konkretne ukrepe za izpopolnjevanje in </w:t>
      </w:r>
      <w:proofErr w:type="spellStart"/>
      <w:r>
        <w:rPr>
          <w:rFonts w:ascii="EC Square Sans Pro" w:hAnsi="EC Square Sans Pro"/>
        </w:rPr>
        <w:t>preusposabljanje</w:t>
      </w:r>
      <w:proofErr w:type="spellEnd"/>
      <w:r>
        <w:rPr>
          <w:rFonts w:ascii="EC Square Sans Pro" w:hAnsi="EC Square Sans Pro"/>
        </w:rPr>
        <w:t xml:space="preserve"> delovno aktivnega prebivalstva in po potrebi združijo prizadevanja v okviru partnerstev.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Pridružitev paktu:</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Vsi deležniki, ki se pridružujejo paktu, se zavežejo Listini in njenim ključnim načelom ter se strinjajo da jih bodo spoštovali in ohranjali.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Podpisniki pakta so vabljeni, da svoje zavzemanje pretvorijo v konkretne zaveze na področju izpopolnjevanja in </w:t>
      </w:r>
      <w:proofErr w:type="spellStart"/>
      <w:r>
        <w:rPr>
          <w:rFonts w:ascii="EC Square Sans Pro" w:hAnsi="EC Square Sans Pro"/>
          <w:sz w:val="22"/>
          <w:szCs w:val="22"/>
        </w:rPr>
        <w:t>preusposabljanja</w:t>
      </w:r>
      <w:proofErr w:type="spellEnd"/>
      <w:r>
        <w:rPr>
          <w:rFonts w:ascii="EC Square Sans Pro" w:hAnsi="EC Square Sans Pro"/>
          <w:sz w:val="22"/>
          <w:szCs w:val="22"/>
        </w:rPr>
        <w:t>. Zaveze morajo biti v skladu s ključnimi načeli ter se lahko opirajo na številna „gonila“, ki ponazarjajo konkretne načine izvajanja različnih načel.</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Zaveze spremlja vsaj en ključni kazalnik uspešnosti, npr. število ljudi, ki sodelujejo pri izpopolnjevanju ali </w:t>
      </w:r>
      <w:proofErr w:type="spellStart"/>
      <w:r>
        <w:rPr>
          <w:rFonts w:ascii="EC Square Sans Pro" w:hAnsi="EC Square Sans Pro"/>
          <w:sz w:val="22"/>
          <w:szCs w:val="22"/>
        </w:rPr>
        <w:t>preusposabljanju</w:t>
      </w:r>
      <w:proofErr w:type="spellEnd"/>
      <w:r>
        <w:rPr>
          <w:rFonts w:ascii="EC Square Sans Pro" w:hAnsi="EC Square Sans Pro"/>
          <w:sz w:val="22"/>
          <w:szCs w:val="22"/>
        </w:rPr>
        <w:t>.</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Ključna načela Listine:</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Spodbujanje kulture vseživljenjskega učenja za vse</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Vzpostavljanje močnih partnerstev za znanja in spretnosti</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Spremljanje ponudbe/povpraševanja po znanjih in spretnostih ter predvidevanje potreb po njih</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Preprečevanje diskriminacije ter prizadevanje za enakost spolov in enake možnosti</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Pakt lahko izvajajo:</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posamezna podjetja ali druge zasebne ali javne organizacije</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regionalna ali lokalna partnerstva</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industrijska ali medsektorska partnerstva</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Podpora v okviru Pakta:</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Od leta 2021 bo Komisija podpisnike Pakta podpirala prek namenskih storitev:</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lastRenderedPageBreak/>
        <w:t>Vozlišče mreženja</w:t>
      </w:r>
      <w:r>
        <w:rPr>
          <w:rFonts w:ascii="EC Square Sans Pro" w:hAnsi="EC Square Sans Pro"/>
          <w:sz w:val="22"/>
          <w:szCs w:val="22"/>
        </w:rPr>
        <w:t>, ki vključuje:</w:t>
      </w:r>
      <w:r>
        <w:rPr>
          <w:rFonts w:ascii="EC Square Sans Pro" w:hAnsi="EC Square Sans Pro"/>
          <w:bCs/>
          <w:sz w:val="22"/>
          <w:szCs w:val="22"/>
        </w:rPr>
        <w:t xml:space="preserve"> podporo pri iskanju partnerjev in prvih sestankov s partnerji; povezovanje z obstoječimi orodji EU, na primer </w:t>
      </w:r>
      <w:proofErr w:type="spellStart"/>
      <w:r>
        <w:rPr>
          <w:rFonts w:ascii="EC Square Sans Pro" w:hAnsi="EC Square Sans Pro"/>
          <w:bCs/>
          <w:sz w:val="22"/>
          <w:szCs w:val="22"/>
        </w:rPr>
        <w:t>Europass</w:t>
      </w:r>
      <w:proofErr w:type="spellEnd"/>
      <w:r>
        <w:rPr>
          <w:rFonts w:ascii="EC Square Sans Pro" w:hAnsi="EC Square Sans Pro"/>
          <w:bCs/>
          <w:sz w:val="22"/>
          <w:szCs w:val="22"/>
        </w:rPr>
        <w:t>, evropska panorama znanj in spretnosti, portal EURES in mreža javnih služb za zaposlovanje; spodbujanje dejavnosti članov Pakta.</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Vozlišče znanja</w:t>
      </w:r>
      <w:r>
        <w:rPr>
          <w:rFonts w:ascii="EC Square Sans Pro" w:hAnsi="EC Square Sans Pro"/>
          <w:sz w:val="22"/>
          <w:szCs w:val="22"/>
        </w:rPr>
        <w:t>, ki vključuje:</w:t>
      </w:r>
      <w:r>
        <w:rPr>
          <w:rFonts w:ascii="EC Square Sans Pro" w:hAnsi="EC Square Sans Pro"/>
          <w:bCs/>
          <w:sz w:val="22"/>
          <w:szCs w:val="22"/>
        </w:rPr>
        <w:t xml:space="preserve"> spletne seminarje, seminarje, dejavnosti medsebojnega učenja; najnovejše informacije o politikah in instrumentih EU; informacije o projektih, orodjih, instrumentih in dobrih praksah</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Vozlišče smernic in virov</w:t>
      </w:r>
      <w:r>
        <w:rPr>
          <w:rFonts w:ascii="EC Square Sans Pro" w:hAnsi="EC Square Sans Pro"/>
          <w:sz w:val="22"/>
          <w:szCs w:val="22"/>
        </w:rPr>
        <w:t>, ki vključujejo:</w:t>
      </w:r>
      <w:r>
        <w:rPr>
          <w:rFonts w:ascii="EC Square Sans Pro" w:hAnsi="EC Square Sans Pro"/>
          <w:bCs/>
          <w:sz w:val="22"/>
          <w:szCs w:val="22"/>
        </w:rPr>
        <w:t xml:space="preserve"> dostop do informacij o ustreznem financiranju EU; smernice za opredelitev finančnih možnosti; lajšanje izmenjav med člani Pakta in nacionalnimi/regionalnimi organi.</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Splošno financiranje EU, ki vključuje mehanizem za okrevanje in odpornost ter ustrezne instrumente financiranja v okviru večletnega finančnega okvira za obdobje 2021–2027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lahko podpira Pakt in bi ga bilo treba v celoti uporabljati.</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LISTINA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PREAMBULA</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upoštevanju </w:t>
      </w:r>
      <w:r>
        <w:rPr>
          <w:rFonts w:ascii="EC Square Sans Pro" w:hAnsi="EC Square Sans Pro"/>
          <w:b/>
          <w:bCs/>
          <w:sz w:val="22"/>
          <w:szCs w:val="22"/>
        </w:rPr>
        <w:t>evropskega stebra socialnih pravic</w:t>
      </w:r>
      <w:r>
        <w:rPr>
          <w:rFonts w:ascii="EC Square Sans Pro" w:hAnsi="EC Square Sans Pro"/>
          <w:sz w:val="22"/>
          <w:szCs w:val="22"/>
        </w:rPr>
        <w:t>, ki je kompas EU za socialno in vključujoče okrevanje ter za pravične prehode na podnebno nevtralnost in digitalno Evropo;</w:t>
      </w:r>
      <w:bookmarkStart w:id="0" w:name="_GoBack"/>
      <w:bookmarkEnd w:id="0"/>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spoznanju, da morajo biti v središču sedanjega in prihodnjega </w:t>
      </w:r>
      <w:r>
        <w:rPr>
          <w:rFonts w:ascii="EC Square Sans Pro" w:hAnsi="EC Square Sans Pro"/>
          <w:b/>
          <w:bCs/>
          <w:sz w:val="22"/>
          <w:szCs w:val="22"/>
        </w:rPr>
        <w:t>digitalnega gospodarstva</w:t>
      </w:r>
      <w:r>
        <w:rPr>
          <w:rFonts w:ascii="EC Square Sans Pro" w:hAnsi="EC Square Sans Pro"/>
          <w:sz w:val="22"/>
          <w:szCs w:val="22"/>
        </w:rPr>
        <w:t xml:space="preserve"> ljudje;</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ponovni potrditvi, da je Evropa z </w:t>
      </w:r>
      <w:r>
        <w:rPr>
          <w:rFonts w:ascii="EC Square Sans Pro" w:hAnsi="EC Square Sans Pro"/>
          <w:b/>
          <w:bCs/>
          <w:sz w:val="22"/>
          <w:szCs w:val="22"/>
        </w:rPr>
        <w:t>evropskim zelenim dogovorom</w:t>
      </w:r>
      <w:r>
        <w:rPr>
          <w:rFonts w:ascii="EC Square Sans Pro" w:hAnsi="EC Square Sans Pro"/>
          <w:sz w:val="22"/>
          <w:szCs w:val="22"/>
        </w:rPr>
        <w:t xml:space="preserve"> naznanila cilj, da do leta 2050 postane prva podnebno nevtralna celina;</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podpiranju </w:t>
      </w:r>
      <w:r>
        <w:rPr>
          <w:rFonts w:ascii="EC Square Sans Pro" w:hAnsi="EC Square Sans Pro"/>
          <w:b/>
          <w:bCs/>
          <w:sz w:val="22"/>
          <w:szCs w:val="22"/>
        </w:rPr>
        <w:t>strategij za industrijo in MSP</w:t>
      </w:r>
      <w:r>
        <w:rPr>
          <w:rFonts w:ascii="EC Square Sans Pro" w:hAnsi="EC Square Sans Pro"/>
          <w:sz w:val="22"/>
          <w:szCs w:val="22"/>
        </w:rPr>
        <w:t xml:space="preserve"> s trdnimi temelji na enotnem trgu, ki podjetjem omogočajo inovacije in razvoj novih tehnologij, krepitev krožnosti in ustvarjanje novih trgov;</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trdnem prepričanju, da so znanja in spretnosti ključnega pomena tako za ljudi kot za podjetja v smislu sprostitve priložnosti za številnejša in boljša delovna mesta, pa tudi za rast in konkurenčnost, kot je določeno v </w:t>
      </w:r>
      <w:r>
        <w:rPr>
          <w:rFonts w:ascii="EC Square Sans Pro" w:hAnsi="EC Square Sans Pro"/>
          <w:b/>
          <w:bCs/>
          <w:sz w:val="22"/>
          <w:szCs w:val="22"/>
        </w:rPr>
        <w:t>evropskem</w:t>
      </w:r>
      <w:r>
        <w:rPr>
          <w:rFonts w:ascii="EC Square Sans Pro" w:hAnsi="EC Square Sans Pro"/>
          <w:sz w:val="22"/>
          <w:szCs w:val="22"/>
        </w:rPr>
        <w:t xml:space="preserve"> </w:t>
      </w:r>
      <w:r>
        <w:rPr>
          <w:rFonts w:ascii="EC Square Sans Pro" w:hAnsi="EC Square Sans Pro"/>
          <w:b/>
          <w:bCs/>
          <w:sz w:val="22"/>
          <w:szCs w:val="22"/>
        </w:rPr>
        <w:t xml:space="preserve">programu znanj in spretnosti </w:t>
      </w:r>
      <w:r>
        <w:rPr>
          <w:rFonts w:ascii="EC Square Sans Pro" w:hAnsi="EC Square Sans Pro"/>
          <w:sz w:val="22"/>
          <w:szCs w:val="22"/>
        </w:rPr>
        <w:t xml:space="preserve">za trajnostno konkurenčnost, socialno pravičnost in odpornost;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ob razumevanju, da imajo podjetja in socialni partnerji pomembno vlogo pri prepoznavanju potrebnih znanj in spretnosti ter podpiranju razvoja ustreznih znanj in spretnosti;</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poudarjanju pomena socialnega dialoga pri prispevanju k uspešnemu izpopolnjevanju in </w:t>
      </w:r>
      <w:proofErr w:type="spellStart"/>
      <w:r>
        <w:rPr>
          <w:rFonts w:ascii="EC Square Sans Pro" w:hAnsi="EC Square Sans Pro"/>
          <w:sz w:val="22"/>
          <w:szCs w:val="22"/>
        </w:rPr>
        <w:t>preusposabljanju</w:t>
      </w:r>
      <w:proofErr w:type="spellEnd"/>
      <w:r>
        <w:rPr>
          <w:rFonts w:ascii="EC Square Sans Pro" w:hAnsi="EC Square Sans Pro"/>
          <w:sz w:val="22"/>
          <w:szCs w:val="22"/>
        </w:rPr>
        <w:t xml:space="preserve"> v Evropi ter popolnem spoštovanju nacionalnih sistemov, vloge socialnih partnerjev in kolektivnih pogodb;</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ob poudarjanju prednosti sodelovanja in izmenjave med podjetji, delavci ter regionalnimi in lokalnimi oblastmi;</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ob priznavanju, da je pandemija COVID-19 globoko prizadela našo družbo in gospodarstvo, pri čemer se je pokazala pomembnost solidarnosti in hitrih ukrepov EU za pravično in odporno okrevanje;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bCs/>
          <w:sz w:val="22"/>
          <w:szCs w:val="22"/>
        </w:rPr>
        <w:t>pozdravljamo Pakt za znanja in spretnosti</w:t>
      </w:r>
      <w:r>
        <w:rPr>
          <w:rFonts w:ascii="EC Square Sans Pro" w:hAnsi="EC Square Sans Pro"/>
          <w:sz w:val="22"/>
          <w:szCs w:val="22"/>
        </w:rPr>
        <w:t xml:space="preserve">, za katerega je dala pobudo Evropska komisija, da bi spodbudila usklajena prizadevanja zasebnih in javnih partnerjev za kakovostne naložbe v znanja in spretnosti vseh delovno sposobnih ljudi po vsej Uniji, </w:t>
      </w:r>
      <w:r>
        <w:rPr>
          <w:rFonts w:ascii="EC Square Sans Pro" w:hAnsi="EC Square Sans Pro"/>
          <w:b/>
          <w:bCs/>
          <w:sz w:val="22"/>
          <w:szCs w:val="22"/>
        </w:rPr>
        <w:t>pri čemer bomo spoštovali in ohranjali naslednja ključna načela:</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Spodbujanje kulture vseživljenjskega učenja za vse</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Vzpostavljanje močnih partnerstev za znanja in spretnosti</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Spremljanje ponudbe/povpraševanja po znanjih in spretnostih ter predvidevanje potreb po njih</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Preprečevanje diskriminacije ter prizadevanje za enakost spolov in enake možnosti</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Seznam podpisnikov</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OBLIKOVANJE KONKRETNIH ZAVEZ</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Poleg spoštovanja in ohranjanja ključnih načel se podpisnike Pakta za znanja in spretnosti močno spodbuja k  predstavitvi konkretnih zavez za izvajanje ukrepov izpopolnjevanja ali </w:t>
      </w:r>
      <w:proofErr w:type="spellStart"/>
      <w:r>
        <w:rPr>
          <w:rFonts w:ascii="EC Square Sans Pro" w:hAnsi="EC Square Sans Pro"/>
          <w:sz w:val="22"/>
          <w:szCs w:val="22"/>
        </w:rPr>
        <w:t>preusposabljanja</w:t>
      </w:r>
      <w:proofErr w:type="spellEnd"/>
      <w:r>
        <w:rPr>
          <w:rFonts w:ascii="EC Square Sans Pro" w:hAnsi="EC Square Sans Pro"/>
          <w:sz w:val="22"/>
          <w:szCs w:val="22"/>
        </w:rPr>
        <w:t xml:space="preserve">, s katerimi bodo udejanjali ključna načela Pakta. To je mogoče storiti na različne načine, odvisno od konteksta, industrijskega ekosistema in vrste vključenih organizacij – naj gre za posamezna podjetja ali druge organizacije – ali partnerstev.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Sledi okviren in neizčrpen seznam gonil, ki lahko podpirajo razvoj konkretnih zavez. Pri predlaganju zaveze s konkretnimi ukrepi za izpopolnjevanje in </w:t>
      </w:r>
      <w:proofErr w:type="spellStart"/>
      <w:r>
        <w:rPr>
          <w:rFonts w:ascii="EC Square Sans Pro" w:hAnsi="EC Square Sans Pro"/>
          <w:sz w:val="22"/>
          <w:szCs w:val="22"/>
        </w:rPr>
        <w:t>preusposabljanje</w:t>
      </w:r>
      <w:proofErr w:type="spellEnd"/>
      <w:r>
        <w:rPr>
          <w:rFonts w:ascii="EC Square Sans Pro" w:hAnsi="EC Square Sans Pro"/>
          <w:sz w:val="22"/>
          <w:szCs w:val="22"/>
        </w:rPr>
        <w:t xml:space="preserve"> bi morali organizacije ali partnerstva izbrati ustrezna gonila in jih po potrebi prilagoditi in vključiti tako, da ustrezajo vsebini njihove zaveze. Navesti bi morali tudi vsaj en ključni kazalnik uspešnosti za spremljanje zaveze, na primer število ljudi, ki sodelujejo pri ukrepih izpopolnjevanja ali </w:t>
      </w:r>
      <w:proofErr w:type="spellStart"/>
      <w:r>
        <w:rPr>
          <w:rFonts w:ascii="EC Square Sans Pro" w:hAnsi="EC Square Sans Pro"/>
          <w:sz w:val="22"/>
          <w:szCs w:val="22"/>
        </w:rPr>
        <w:t>preusposabljanja</w:t>
      </w:r>
      <w:proofErr w:type="spellEnd"/>
      <w:r>
        <w:rPr>
          <w:rFonts w:ascii="EC Square Sans Pro" w:hAnsi="EC Square Sans Pro"/>
          <w:sz w:val="22"/>
          <w:szCs w:val="22"/>
        </w:rPr>
        <w:t>.</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Spodbujanje kulture vseživljenjskega učenja za vse</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Organizacija spodbuja znanja in spretnosti svojih ljudi kot bistvene za svoj uspeh.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Delodajalci in delavci se zavedajo vrednosti in koristi izpopolnjevanja in </w:t>
      </w:r>
      <w:proofErr w:type="spellStart"/>
      <w:r>
        <w:rPr>
          <w:rFonts w:ascii="EC Square Sans Pro" w:hAnsi="EC Square Sans Pro"/>
          <w:sz w:val="22"/>
          <w:szCs w:val="22"/>
        </w:rPr>
        <w:t>preusposabljanja</w:t>
      </w:r>
      <w:proofErr w:type="spellEnd"/>
      <w:r>
        <w:rPr>
          <w:rFonts w:ascii="EC Square Sans Pro" w:hAnsi="EC Square Sans Pro"/>
          <w:sz w:val="22"/>
          <w:szCs w:val="22"/>
        </w:rPr>
        <w:t xml:space="preserve"> ter so motivirani za nenehno izboljševanje svojih znanj in spretnosti.</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Ukrep je namenjen delavcem in pripravljen v sodelovanju z njimi, podpirajo pa ga vse ravni upravljanja.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Na voljo so smernice in podpora za razvoj poklicnih poti.</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Uporabljeni so ustrezni finančni viri.</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Na voljo sta redno spremljanje in ocenjevanje kakovosti.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Posebna pozornost je namenjena izpopolnjevanju in </w:t>
      </w:r>
      <w:proofErr w:type="spellStart"/>
      <w:r>
        <w:rPr>
          <w:rFonts w:ascii="EC Square Sans Pro" w:hAnsi="EC Square Sans Pro"/>
          <w:sz w:val="22"/>
          <w:szCs w:val="22"/>
        </w:rPr>
        <w:t>preusposabljanju</w:t>
      </w:r>
      <w:proofErr w:type="spellEnd"/>
      <w:r>
        <w:rPr>
          <w:rFonts w:ascii="EC Square Sans Pro" w:hAnsi="EC Square Sans Pro"/>
          <w:sz w:val="22"/>
          <w:szCs w:val="22"/>
        </w:rPr>
        <w:t xml:space="preserve"> prikrajšanih skupin, vključno s starejšimi delavci in odraslimi, ki nimajo zadostnih osnovnih znanj.</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Vodstvu in osebju je na voljo podpora pri učenju in premagovanju ovir, kot so pomanjkanje časa, sredstev ali informacij o možnostih izpopolnjevanja ali </w:t>
      </w:r>
      <w:proofErr w:type="spellStart"/>
      <w:r>
        <w:rPr>
          <w:rFonts w:ascii="EC Square Sans Pro" w:hAnsi="EC Square Sans Pro"/>
          <w:sz w:val="22"/>
          <w:szCs w:val="22"/>
        </w:rPr>
        <w:t>preusposabljanja</w:t>
      </w:r>
      <w:proofErr w:type="spellEnd"/>
      <w:r>
        <w:rPr>
          <w:rFonts w:ascii="EC Square Sans Pro" w:hAnsi="EC Square Sans Pro"/>
          <w:sz w:val="22"/>
          <w:szCs w:val="22"/>
        </w:rPr>
        <w:t>.</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Podjetjem so na voljo finančne in nefinančne spodbude, da delodajalcem in zaposlenim zagotovijo izpopolnjevanje in </w:t>
      </w:r>
      <w:proofErr w:type="spellStart"/>
      <w:r>
        <w:rPr>
          <w:rFonts w:ascii="EC Square Sans Pro" w:hAnsi="EC Square Sans Pro"/>
          <w:sz w:val="22"/>
          <w:szCs w:val="22"/>
        </w:rPr>
        <w:t>preusposabljanje</w:t>
      </w:r>
      <w:proofErr w:type="spellEnd"/>
      <w:r>
        <w:rPr>
          <w:rFonts w:ascii="EC Square Sans Pro" w:hAnsi="EC Square Sans Pro"/>
          <w:sz w:val="22"/>
          <w:szCs w:val="22"/>
        </w:rPr>
        <w:t>.</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proofErr w:type="spellStart"/>
      <w:r>
        <w:rPr>
          <w:rFonts w:ascii="EC Square Sans Pro" w:hAnsi="EC Square Sans Pro"/>
          <w:sz w:val="22"/>
          <w:szCs w:val="22"/>
        </w:rPr>
        <w:t>Mikro</w:t>
      </w:r>
      <w:proofErr w:type="spellEnd"/>
      <w:r>
        <w:rPr>
          <w:rFonts w:ascii="EC Square Sans Pro" w:hAnsi="EC Square Sans Pro"/>
          <w:sz w:val="22"/>
          <w:szCs w:val="22"/>
        </w:rPr>
        <w:t>, malim ali srednjim podjetjem je na voljo namenska podpora (na primer orodja, storitve ali financiranje) za ustvarjanje in vzdrževanje kulture učenja znotraj organizacije, tako za vodstvo kot za zaposlene.</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Vzpostavljanje močnih partnerstev za znanja in spretnosti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Vključen je širok spekter deležnikov, zlasti socialnih partnerjev, izvajalcev usposabljanj, javnih organov, raziskovalcev, javnih ali zasebnih služb za zaposlovanje, gospodarskih zbornic in drugih posredniških organov ter sektorskih organizacij.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Partnerstvo v industrijskem ekosistemu je na voljo vsem ustreznim deležnikom, da združijo strokovno znanje in vire za konkretne ukrepe, ki bodo ljudem omogočili, da obdržijo, spremenijo in najdejo nova delovna mesta.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Partnerstvo lahko sodeluje na evropski, nacionalni, regionalni ali lokalni ravni.</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Spodbuja se medsektorsko sodelovanje med ustreznimi partnerstvi v sektorskem/industrijskem okolju.</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Zagotovljeni sta skupna odgovornost in proaktivna vloga.</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Člani partnerstva imajo odprt dialog ter si delijo in izmenjujejo znanje, da dosežejo visoko kakovost ponudbe usposabljanja, kar vključuje kakovost učiteljev/vodij in programov usposabljanja.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Partnerstvo gradi svoje ukrepe na preverjenih orodjih, vendar tudi razvija inovativne rešitve.</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Spremljanje ponudbe/povpraševanja po znanjih in spretnostih ter predvidevanje potreb po njih</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Povpraševanje in ponudba (z delom povezanih in prečnih) znanj in spretnosti se redno spremljata, potrebe po znanjih in spretnostih pa se jasno sporočijo posameznikom.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Pri predvidevanju znanj in spretnosti se upošteva, da je treba podpreti digitalni in zeleni prehod ter posledice demografskih sprememb.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Spremljanje povpraševanja ter ponudbe znanj in spretnosti obravnava potrebe delovne sile in podjetij po znanjih in spretnostih na regionalni, nacionalni in evropski ravni.</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Predvidevanje znanj in spretnosti vključuje hitre spremembe na trgu dela ter zagotavlja ustrezne in pravočasne informacije o potrebah po znanjih in spretnostih.</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Predvidevanje znanj in spretnosti upošteva regionalni, nacionalni in evropski razvoj.</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Mehanizem spremljanja ne vključuje le znanj in spretnosti, povezanih z delom, temveč tudi prečna in osnovna znanja in spretnosti.</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Ukrep temelji na ugotovljenih potrebah po znanjih in spretnostih povezanih z delom in mehkih veščinah.</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Preprečevanje diskriminacije ter prizadevanje za enakost spolov in enake možnosti</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Z ukrepom se aktivno spodbujajo enake možnosti ne glede na spol, rasno ali etnično poreklo, vero ali prepričanje, invalidnost, starost ali spolno usmerjenost;</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Ukrep omogoča dostop do visokokakovostnih možnosti za izpopolnjevanje/</w:t>
      </w:r>
      <w:proofErr w:type="spellStart"/>
      <w:r>
        <w:rPr>
          <w:rFonts w:ascii="EC Square Sans Pro" w:hAnsi="EC Square Sans Pro"/>
          <w:sz w:val="22"/>
          <w:szCs w:val="22"/>
        </w:rPr>
        <w:t>preusposabljanje</w:t>
      </w:r>
      <w:proofErr w:type="spellEnd"/>
      <w:r>
        <w:rPr>
          <w:rFonts w:ascii="EC Square Sans Pro" w:hAnsi="EC Square Sans Pro"/>
          <w:sz w:val="22"/>
          <w:szCs w:val="22"/>
        </w:rPr>
        <w:t xml:space="preserve"> za vse v ciljni populaciji, ne glede na spol, raso ali etnično poreklo, vero ali prepričanje, invalidnost, starost</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ali spolno usmerjenost.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V ukrep sta vključena potrjevanje in priznavanje pridobljenih znanj in spretnosti (vključno z </w:t>
      </w:r>
      <w:proofErr w:type="spellStart"/>
      <w:r>
        <w:rPr>
          <w:rFonts w:ascii="EC Square Sans Pro" w:hAnsi="EC Square Sans Pro"/>
          <w:sz w:val="22"/>
          <w:szCs w:val="22"/>
        </w:rPr>
        <w:t>mikrokvalifikacijami</w:t>
      </w:r>
      <w:proofErr w:type="spellEnd"/>
      <w:r>
        <w:rPr>
          <w:rFonts w:ascii="EC Square Sans Pro" w:hAnsi="EC Square Sans Pro"/>
          <w:sz w:val="22"/>
          <w:szCs w:val="22"/>
        </w:rPr>
        <w: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Upoštevajo se potrebe in zmogljivosti posameznikov, vključno z njihovimi osebnimi in poklicnimi potrebami (npr. sprememba poklicne poti v srednjih letih);</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Ukrep je prilagodljiv, modularen in po možnosti na voljo prek orodij (vključno z digitalnimi orodji), s čimer se dostop do učenja zagotovi vsem delovno sposobnim ljudem.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Calibri"/>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ab/>
        <w:t xml:space="preserve">Kot so Evropski socialni sklad Plus, REACT_EU, Sklad za pravični prehod, </w:t>
      </w:r>
      <w:proofErr w:type="spellStart"/>
      <w:r>
        <w:t>Erasmus</w:t>
      </w:r>
      <w:proofErr w:type="spellEnd"/>
      <w:r>
        <w:t xml:space="preserve">+, Obzorje Evropa, Digitalna Evropa, Evropski sklad za regionalni razvoj, </w:t>
      </w:r>
      <w:proofErr w:type="spellStart"/>
      <w:r>
        <w:t>InvestEU</w:t>
      </w:r>
      <w:proofErr w:type="spellEnd"/>
      <w:r>
        <w:t xml:space="preserve"> in Sklad za modernizacijo.</w:t>
      </w:r>
    </w:p>
  </w:footnote>
  <w:footnote w:id="3">
    <w:p w14:paraId="0A32517E" w14:textId="16C3F6B3" w:rsidR="00774040" w:rsidRDefault="00774040">
      <w:pPr>
        <w:pStyle w:val="FootnoteText"/>
      </w:pPr>
      <w:r>
        <w:rPr>
          <w:rStyle w:val="FootnoteReference"/>
        </w:rPr>
        <w:footnoteRef/>
      </w:r>
      <w:r>
        <w:tab/>
      </w:r>
      <w:r>
        <w:t xml:space="preserve">Razen če je to utemeljeno z naravo ukrepa, npr. pobude za izpopolnjevanje in </w:t>
      </w:r>
      <w:proofErr w:type="spellStart"/>
      <w:r>
        <w:t>preusposabljanje</w:t>
      </w:r>
      <w:proofErr w:type="spellEnd"/>
      <w:r>
        <w:t>, namenjene starejšim delavcem ali mlajšim zaposlenim.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872A1"/>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sl-SI"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sl-SI"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625920-C17A-4C41-B7AD-B06FCB93E6DB}">
  <ds:schemaRefs>
    <ds:schemaRef ds:uri="http://schemas.openxmlformats.org/officeDocument/2006/bibliography"/>
  </ds:schemaRefs>
</ds:datastoreItem>
</file>

<file path=customXml/itemProps2.xml><?xml version="1.0" encoding="utf-8"?>
<ds:datastoreItem xmlns:ds="http://schemas.openxmlformats.org/officeDocument/2006/customXml" ds:itemID="{62B162D8-B8CE-4450-A22E-F678E60BF8AF}"/>
</file>

<file path=customXml/itemProps3.xml><?xml version="1.0" encoding="utf-8"?>
<ds:datastoreItem xmlns:ds="http://schemas.openxmlformats.org/officeDocument/2006/customXml" ds:itemID="{60C8042E-C9DA-481F-A633-FDC691DFDD07}"/>
</file>

<file path=customXml/itemProps4.xml><?xml version="1.0" encoding="utf-8"?>
<ds:datastoreItem xmlns:ds="http://schemas.openxmlformats.org/officeDocument/2006/customXml" ds:itemID="{25F08525-9D09-4852-86E7-2F037685D952}"/>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9116</Characters>
  <Application>Microsoft Office Word</Application>
  <DocSecurity>0</DocSecurity>
  <Lines>303</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