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PATT GĦALL-ĦILIET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Hemm potenzjal qawwi biex tingħata spinta lill-azzjoni konġunta bie</w:t>
      </w:r>
      <w:bookmarkStart w:id="0" w:name="_GoBack"/>
      <w:bookmarkEnd w:id="0"/>
      <w:r>
        <w:rPr>
          <w:rFonts w:ascii="EC Square Sans Pro" w:hAnsi="EC Square Sans Pro"/>
        </w:rPr>
        <w:t>x jiġi massimizzat l-impatt tal-investiment fil-ħiliet. Il-politiki u l-azzjonijiet dwar il-ħiliet jinqasmu bejn bosta atturi. Il-kumpaniji, il-ħaddiema, il-fornituri tal-edukazzjoni u tat-taħriġ, l-awtoritajiet nazzjonali, reġjonali u lokali, il-kmamar tal-kummerċ u s-servizzi tal-impjiegi huma fost dawk li jikkontribwixxu biex it-titjib tal-ħiliet u t-taħriġ mill-ġdid isiru realtà. Sforzi konġunti jistgħu jġibu ċarezza lill-individwi u lill-kumpaniji tul il-katina tal-valur, inaqqsu l-ispejjeż u jiffokaw fuq il-prijoritajiet.</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Din hija r-raġuni għaliex il-Kummissjoni qed tniedi Patt għall-Ħiliet — impenn u approċċ kondiviż għall-iżvilupp tal-ħiliet. Il-Patt huwa ankrat b’mod sod fil-prinċipji tal-Pilastru Ewropew tad-Drittijiet Soċjali u jappoġġa l-miri tal-Patt Ekoloġiku u t-trasformazzjoni diġitali, kif stabbiliti fil-Komunikazzjoni tal-Kummissjoni “Ewropa Soċjali b’saħħitha għal Tranżizzjonijiet Ġusti”.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Il-Patt għandu l-għan li jimmobilizza u li jinċentiva lill-partijiet ikkonċernati privati u pubbliċi biex jieħdu azzjoni konkreta għat-titjib tal-ħiliet u għat-taħriġ mill-ġdid tal-persuni fl-età tax-xogħol, u, fejn rilevanti, jgħaqqdu l-isforzi fis-sħubijiet.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Sħubija fil-Patt:</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Il-partijiet ikkonċernati kollha li jingħaqdu mal-Patt jiffirmaw il-Karta u l-prinċipji ewlenin tagħha, li jaqblu li jirrispettaw u jħarsu.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Il-Firmatarji tal-Patt huma mistiedna jsarrfu l-impenn tagħhom f’impenji konkreti dwar it-titjib tal-ħiliet u t-taħriġ mill-ġdid. L-impenji jridu jkunu konformi mal-prinċipji ewlenin u jistgħu jinbnew madwar għadd ta’ “faċilitaturi” li juru modi konkreti ta’ implimentazzjoni tal-prinċipji differenti.</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L-impenji jiġu mmonitorjati minn tal-anqas indikatur ewlieni wieħed tal-prestazzjoni, pereżempju l-għadd ta’ persuni li jieħdu sehem fit-titjib tal-ħiliet jew fit-taħriġ mill-ġdid.</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w:t>
      </w:r>
      <w:r>
        <w:rPr>
          <w:rFonts w:ascii="EC Square Sans Pro" w:hAnsi="EC Square Sans Pro"/>
          <w:b/>
          <w:sz w:val="22"/>
          <w:szCs w:val="22"/>
        </w:rPr>
        <w:t>Prinċipji ewlenin tal-Karta:</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Il-promozzjoni ta’ kultura ta’ apprendiment tul il-ħajja għal kulħadd</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Il-bini ta’ sħubijiet tal-ħiliet b’saħħithom</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Il-monitoraġġ tal-provvista/tad-domanda tal-ħiliet u l-antiċipazzjoni tal-ħtiġijiet b’rabta mal-ħiliet</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Il-ħidma kontra d-diskriminazzjoni u favur l-ugwaljanza bejn il-ġeneri u l-opportunitajiet indaqs</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Il-Patt jista’ jiġi implimentat minn:</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Kumpaniji individwali jew organizzazzjonijiet privati jew pubbliċi oħra</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Sħubijiet reġjonali jew lokali</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lastRenderedPageBreak/>
        <w:t>Sħubijiet industrijali jew transsettorjali</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Appoġġ taħt il-Patt:</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t>Mill-2021, il-Kummissjoni se tappoġġa lill-firmatarji tal-Patt permezz ta’ servizzi ddedikati:</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bCs/>
          <w:sz w:val="22"/>
          <w:szCs w:val="22"/>
        </w:rPr>
        <w:t xml:space="preserve"> </w:t>
      </w:r>
      <w:proofErr w:type="spellStart"/>
      <w:r>
        <w:rPr>
          <w:rFonts w:ascii="EC Square Sans Pro" w:hAnsi="EC Square Sans Pro"/>
          <w:b/>
          <w:bCs/>
          <w:sz w:val="22"/>
          <w:szCs w:val="22"/>
        </w:rPr>
        <w:t>Hub</w:t>
      </w:r>
      <w:proofErr w:type="spellEnd"/>
      <w:r>
        <w:rPr>
          <w:rFonts w:ascii="EC Square Sans Pro" w:hAnsi="EC Square Sans Pro"/>
          <w:b/>
          <w:bCs/>
          <w:sz w:val="22"/>
          <w:szCs w:val="22"/>
        </w:rPr>
        <w:t xml:space="preserve"> ta’ network</w:t>
      </w:r>
      <w:r>
        <w:rPr>
          <w:rFonts w:ascii="EC Square Sans Pro" w:hAnsi="EC Square Sans Pro"/>
          <w:bCs/>
          <w:sz w:val="22"/>
          <w:szCs w:val="22"/>
        </w:rPr>
        <w:t>, inklużi: l-appoġġ għas-sejbien ta’ sħab u l-ewwel laqgħat tas-sħubijiet; il-konnessjoni mal-għodod eżistenti tal-UE, pereżempju l-</w:t>
      </w:r>
      <w:proofErr w:type="spellStart"/>
      <w:r>
        <w:rPr>
          <w:rFonts w:ascii="EC Square Sans Pro" w:hAnsi="EC Square Sans Pro"/>
          <w:bCs/>
          <w:sz w:val="22"/>
          <w:szCs w:val="22"/>
        </w:rPr>
        <w:t>Europass</w:t>
      </w:r>
      <w:proofErr w:type="spellEnd"/>
      <w:r>
        <w:rPr>
          <w:rFonts w:ascii="EC Square Sans Pro" w:hAnsi="EC Square Sans Pro"/>
          <w:bCs/>
          <w:sz w:val="22"/>
          <w:szCs w:val="22"/>
        </w:rPr>
        <w:t>, il-</w:t>
      </w:r>
      <w:proofErr w:type="spellStart"/>
      <w:r>
        <w:rPr>
          <w:rFonts w:ascii="EC Square Sans Pro" w:hAnsi="EC Square Sans Pro"/>
          <w:bCs/>
          <w:sz w:val="22"/>
          <w:szCs w:val="22"/>
        </w:rPr>
        <w:t>Panorama</w:t>
      </w:r>
      <w:proofErr w:type="spellEnd"/>
      <w:r>
        <w:rPr>
          <w:rFonts w:ascii="EC Square Sans Pro" w:hAnsi="EC Square Sans Pro"/>
          <w:bCs/>
          <w:sz w:val="22"/>
          <w:szCs w:val="22"/>
        </w:rPr>
        <w:t xml:space="preserve"> ta' Ħiliet, il-EURES u n-Network tas-Servizzi Pubbliċi tal-Impjiegi; il-promozzjoni tal-attivitajiet tal-membri tal-Patt.</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Ċentru tal-</w:t>
      </w:r>
      <w:r>
        <w:rPr>
          <w:rFonts w:ascii="EC Square Sans Pro" w:hAnsi="EC Square Sans Pro"/>
          <w:b/>
          <w:bCs/>
          <w:sz w:val="22"/>
          <w:szCs w:val="22"/>
        </w:rPr>
        <w:t xml:space="preserve"> għarfien</w:t>
      </w:r>
      <w:r>
        <w:rPr>
          <w:rFonts w:ascii="EC Square Sans Pro" w:hAnsi="EC Square Sans Pro"/>
          <w:bCs/>
          <w:sz w:val="22"/>
          <w:szCs w:val="22"/>
        </w:rPr>
        <w:t xml:space="preserve">, li jinkludi: </w:t>
      </w:r>
      <w:proofErr w:type="spellStart"/>
      <w:r>
        <w:rPr>
          <w:rFonts w:ascii="EC Square Sans Pro" w:hAnsi="EC Square Sans Pro"/>
          <w:bCs/>
          <w:sz w:val="22"/>
          <w:szCs w:val="22"/>
        </w:rPr>
        <w:t>webinars</w:t>
      </w:r>
      <w:proofErr w:type="spellEnd"/>
      <w:r>
        <w:rPr>
          <w:rFonts w:ascii="EC Square Sans Pro" w:hAnsi="EC Square Sans Pro"/>
          <w:bCs/>
          <w:sz w:val="22"/>
          <w:szCs w:val="22"/>
        </w:rPr>
        <w:t>, seminars, attivitajiet ta’ apprendiment bejn il-pari; aġġornamenti dwar il-politiki u l-istrumenti tal-UE; informazzjoni dwar il-proġetti, l-istrumenti ta’ għodod u l-aħjar prattiki</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Ċentru ta’ gwida</w:t>
      </w:r>
      <w:r>
        <w:rPr>
          <w:rFonts w:ascii="EC Square Sans Pro" w:hAnsi="EC Square Sans Pro"/>
          <w:b/>
          <w:bCs/>
          <w:sz w:val="22"/>
          <w:szCs w:val="22"/>
        </w:rPr>
        <w:t xml:space="preserve"> u ta' riżorsi</w:t>
      </w:r>
      <w:r>
        <w:rPr>
          <w:rFonts w:ascii="EC Square Sans Pro" w:hAnsi="EC Square Sans Pro"/>
          <w:bCs/>
          <w:sz w:val="22"/>
          <w:szCs w:val="22"/>
        </w:rPr>
        <w:t>, inkluż: aċċess għal informazzjoni dwar il-finanzjament rilevanti tal-UE; gwida għall-identifikazzjoni tal-possibbiltajiet finanzjarji; il-faċilitazzjoni tal-iskambju bejn il-membri tal-Patt u l-awtoritajiet nazzjonali/reġjonali.</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 xml:space="preserve">Il-finanzjament globali tal-UE, jiġifieri l-Faċilità għall-Irkupru u r-Reżiljenza u l-istrumenti ta’ </w:t>
      </w:r>
      <w:proofErr w:type="spellStart"/>
      <w:r>
        <w:rPr>
          <w:rFonts w:ascii="EC Square Sans Pro" w:hAnsi="EC Square Sans Pro"/>
          <w:bCs/>
          <w:sz w:val="22"/>
          <w:szCs w:val="22"/>
        </w:rPr>
        <w:t>finanzjament</w:t>
      </w:r>
      <w:proofErr w:type="spellEnd"/>
      <w:r>
        <w:rPr>
          <w:rFonts w:ascii="EC Square Sans Pro" w:hAnsi="EC Square Sans Pro"/>
          <w:bCs/>
          <w:sz w:val="22"/>
          <w:szCs w:val="22"/>
        </w:rPr>
        <w:t xml:space="preserve"> rilevanti taħt il-Qafas Finanzjarju Pluriennali ta’ bejn l-</w:t>
      </w:r>
      <w:r>
        <w:t xml:space="preserve"> </w:t>
      </w:r>
      <w:r>
        <w:rPr>
          <w:rFonts w:ascii="EC Square Sans Pro" w:hAnsi="EC Square Sans Pro"/>
          <w:bCs/>
          <w:sz w:val="22"/>
          <w:szCs w:val="22"/>
        </w:rPr>
        <w:t>2021 u l-2027</w:t>
      </w:r>
      <w:r w:rsidRPr="0059792B">
        <w:rPr>
          <w:rStyle w:val="FootnoteReference"/>
          <w:rFonts w:ascii="EC Square Sans Pro" w:hAnsi="EC Square Sans Pro" w:cs="Calibri"/>
          <w:bCs/>
          <w:sz w:val="22"/>
          <w:szCs w:val="22"/>
        </w:rPr>
        <w:footnoteReference w:id="2"/>
      </w:r>
      <w:r>
        <w:rPr>
          <w:rFonts w:ascii="EC Square Sans Pro" w:hAnsi="EC Square Sans Pro"/>
          <w:bCs/>
          <w:sz w:val="22"/>
          <w:szCs w:val="22"/>
        </w:rPr>
        <w:t xml:space="preserve"> jista’ jappoġġa l-Patt u għandu jintuża bis-sħiħ.</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lastRenderedPageBreak/>
        <w:t>KARTA</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PREAMBOLU</w:t>
      </w:r>
    </w:p>
    <w:p w14:paraId="1E55824E" w14:textId="2680106D" w:rsidR="001A1133" w:rsidRDefault="001A1133"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Wara li </w:t>
      </w:r>
      <w:proofErr w:type="spellStart"/>
      <w:r>
        <w:rPr>
          <w:rFonts w:ascii="EC Square Sans Pro" w:hAnsi="EC Square Sans Pro"/>
          <w:sz w:val="22"/>
          <w:szCs w:val="22"/>
        </w:rPr>
        <w:t>kkunsidrajna</w:t>
      </w:r>
      <w:proofErr w:type="spellEnd"/>
      <w:r>
        <w:rPr>
          <w:rFonts w:ascii="EC Square Sans Pro" w:hAnsi="EC Square Sans Pro"/>
          <w:sz w:val="22"/>
          <w:szCs w:val="22"/>
        </w:rPr>
        <w:t xml:space="preserve"> l-</w:t>
      </w:r>
      <w:r>
        <w:rPr>
          <w:rFonts w:ascii="EC Square Sans Pro" w:hAnsi="EC Square Sans Pro"/>
          <w:b/>
          <w:sz w:val="22"/>
          <w:szCs w:val="22"/>
        </w:rPr>
        <w:t>Pilastru Ewropew tad-Drittijiet Soċjali</w:t>
      </w:r>
      <w:r>
        <w:rPr>
          <w:rFonts w:ascii="EC Square Sans Pro" w:hAnsi="EC Square Sans Pro"/>
          <w:sz w:val="22"/>
          <w:szCs w:val="22"/>
        </w:rPr>
        <w:t>, li huwa l-boxxla tal-UE għal irkupru soċjali u inklużiv, u għal tranżizzjonijiet ġusti lejn in-newtralità klimatika u l-Ewropa diġitali;</w:t>
      </w:r>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Billi </w:t>
      </w:r>
      <w:proofErr w:type="spellStart"/>
      <w:r>
        <w:rPr>
          <w:rFonts w:ascii="EC Square Sans Pro" w:hAnsi="EC Square Sans Pro"/>
          <w:sz w:val="22"/>
          <w:szCs w:val="22"/>
        </w:rPr>
        <w:t>nirrikonoxxu</w:t>
      </w:r>
      <w:proofErr w:type="spellEnd"/>
      <w:r>
        <w:rPr>
          <w:rFonts w:ascii="EC Square Sans Pro" w:hAnsi="EC Square Sans Pro"/>
          <w:sz w:val="22"/>
          <w:szCs w:val="22"/>
        </w:rPr>
        <w:t xml:space="preserve"> li l-</w:t>
      </w:r>
      <w:r>
        <w:rPr>
          <w:rFonts w:ascii="EC Square Sans Pro" w:hAnsi="EC Square Sans Pro"/>
          <w:b/>
          <w:sz w:val="22"/>
          <w:szCs w:val="22"/>
        </w:rPr>
        <w:t>ekonomija diġitali</w:t>
      </w:r>
      <w:r>
        <w:rPr>
          <w:rFonts w:ascii="EC Square Sans Pro" w:hAnsi="EC Square Sans Pro"/>
          <w:sz w:val="22"/>
          <w:szCs w:val="22"/>
        </w:rPr>
        <w:t xml:space="preserve"> tal-lum u ta’ għada jrid ikollha l-poplu fil-qalba tagħha;</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Billi nfakkru li bil-</w:t>
      </w:r>
      <w:r>
        <w:rPr>
          <w:rFonts w:ascii="EC Square Sans Pro" w:hAnsi="EC Square Sans Pro"/>
          <w:b/>
          <w:sz w:val="22"/>
          <w:szCs w:val="22"/>
        </w:rPr>
        <w:t>Patt Ekoloġiku Ewropew</w:t>
      </w:r>
      <w:r>
        <w:rPr>
          <w:rFonts w:ascii="EC Square Sans Pro" w:hAnsi="EC Square Sans Pro"/>
          <w:sz w:val="22"/>
          <w:szCs w:val="22"/>
        </w:rPr>
        <w:t>, l-Ewropa wriet l-ambizzjoni tagħha li ssir l-ewwel kontinent b’newtralità klimatika sal-2050;</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Billi nappoġġaw l-</w:t>
      </w:r>
      <w:r>
        <w:rPr>
          <w:rFonts w:ascii="EC Square Sans Pro" w:hAnsi="EC Square Sans Pro"/>
          <w:b/>
          <w:sz w:val="22"/>
          <w:szCs w:val="22"/>
        </w:rPr>
        <w:t>Istrateġiji industrijali u tal-</w:t>
      </w:r>
      <w:proofErr w:type="spellStart"/>
      <w:r>
        <w:rPr>
          <w:rFonts w:ascii="EC Square Sans Pro" w:hAnsi="EC Square Sans Pro"/>
          <w:b/>
          <w:sz w:val="22"/>
          <w:szCs w:val="22"/>
        </w:rPr>
        <w:t>SMEs</w:t>
      </w:r>
      <w:proofErr w:type="spellEnd"/>
      <w:r>
        <w:rPr>
          <w:rFonts w:ascii="EC Square Sans Pro" w:hAnsi="EC Square Sans Pro"/>
          <w:b/>
          <w:sz w:val="22"/>
          <w:szCs w:val="22"/>
        </w:rPr>
        <w:t xml:space="preserve"> </w:t>
      </w:r>
      <w:r>
        <w:rPr>
          <w:rFonts w:ascii="EC Square Sans Pro" w:hAnsi="EC Square Sans Pro"/>
          <w:sz w:val="22"/>
          <w:szCs w:val="22"/>
        </w:rPr>
        <w:t xml:space="preserve">b’sisien sodi fis-Suq Uniku, li jippermettu lin-negozji jinnovaw u jiżviluppaw teknoloġiji ġodda, jagħtu spinta </w:t>
      </w:r>
      <w:proofErr w:type="spellStart"/>
      <w:r>
        <w:rPr>
          <w:rFonts w:ascii="EC Square Sans Pro" w:hAnsi="EC Square Sans Pro"/>
          <w:sz w:val="22"/>
          <w:szCs w:val="22"/>
        </w:rPr>
        <w:t>liċ</w:t>
      </w:r>
      <w:proofErr w:type="spellEnd"/>
      <w:r>
        <w:rPr>
          <w:rFonts w:ascii="EC Square Sans Pro" w:hAnsi="EC Square Sans Pro"/>
          <w:sz w:val="22"/>
          <w:szCs w:val="22"/>
        </w:rPr>
        <w:t>-ċirkolarità u joħolqu swieq ġodda;</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Billi nemmnu bil-qawwa li l-ħiliet huma essenzjali kemm għan-nies kif ukoll għall-kumpaniji biex jaħtfu l-opportunitajiet għal aktar impjiegi u għal impjiegi aħjar, kif ukoll għat-tkabbir u għall-kompetittività, kif stipulat fl-</w:t>
      </w:r>
      <w:r>
        <w:rPr>
          <w:rFonts w:ascii="EC Square Sans Pro" w:hAnsi="EC Square Sans Pro"/>
          <w:b/>
          <w:sz w:val="22"/>
          <w:szCs w:val="22"/>
        </w:rPr>
        <w:t>Aġenda għall-Ħiliet għall-Ewropa</w:t>
      </w:r>
      <w:r>
        <w:rPr>
          <w:rFonts w:ascii="EC Square Sans Pro" w:hAnsi="EC Square Sans Pro"/>
          <w:sz w:val="22"/>
          <w:szCs w:val="22"/>
        </w:rPr>
        <w:t xml:space="preserve"> għall-kompetittività sostenibbli, il-ġustizzja soċjali u r-reżiljenza;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Billi nifhmu r-rwol importanti tal-kumpaniji u s-sħab soċjali fl-identifikazzjoni tal-ħtiġijiet b'rabta mal-ħiliet u fl-appoġġ għall-iżvilupp tal-ħiliet rilevanti;</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Billi nenfasizzaw l-importanza tad-djalogu soċjali fil-kontribut għat-titjib tal-ħiliet u t-taħriġ mill-ġdid b’suċċess fl-Ewropa u billi nirrispettaw bis-sħiħ is-sistemi nazzjonali, ir-rwol tas-sħab soċjali u l-ftehimiet kollettivi;</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Billi nenfasizzaw il-benefiċċji tal-kooperazzjoni u tal-iskambju bejn u fost il-kumpaniji, il-ħaddiema u l-awtoritajiet reġjonali u lokali;</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Billi </w:t>
      </w:r>
      <w:proofErr w:type="spellStart"/>
      <w:r>
        <w:rPr>
          <w:rFonts w:ascii="EC Square Sans Pro" w:hAnsi="EC Square Sans Pro"/>
          <w:sz w:val="22"/>
          <w:szCs w:val="22"/>
        </w:rPr>
        <w:t>nirrikonoxxu</w:t>
      </w:r>
      <w:proofErr w:type="spellEnd"/>
      <w:r>
        <w:rPr>
          <w:rFonts w:ascii="EC Square Sans Pro" w:hAnsi="EC Square Sans Pro"/>
          <w:sz w:val="22"/>
          <w:szCs w:val="22"/>
        </w:rPr>
        <w:t xml:space="preserve"> li l-</w:t>
      </w:r>
      <w:proofErr w:type="spellStart"/>
      <w:r>
        <w:rPr>
          <w:rFonts w:ascii="EC Square Sans Pro" w:hAnsi="EC Square Sans Pro"/>
          <w:sz w:val="22"/>
          <w:szCs w:val="22"/>
        </w:rPr>
        <w:t>pandemija</w:t>
      </w:r>
      <w:proofErr w:type="spellEnd"/>
      <w:r>
        <w:rPr>
          <w:rFonts w:ascii="EC Square Sans Pro" w:hAnsi="EC Square Sans Pro"/>
          <w:sz w:val="22"/>
          <w:szCs w:val="22"/>
        </w:rPr>
        <w:t xml:space="preserve"> tal-COVID-19 affettwat serjament lis-soċjetajiet u lill-ekonomiji tagħna, u nuru l-importanza tas-solidarjetà tal-UE u azzjoni rapida lejn irkupru ġust u reżiljenti;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Aħna nilqgħu l-Patt għall-Ħiliet</w:t>
      </w:r>
      <w:r>
        <w:rPr>
          <w:rFonts w:ascii="EC Square Sans Pro" w:hAnsi="EC Square Sans Pro"/>
          <w:sz w:val="22"/>
          <w:szCs w:val="22"/>
        </w:rPr>
        <w:t xml:space="preserve"> li nbeda mill-Kummissjoni Ewropea biex jiġi mobilizzat sforz konġunt fost is-sħab privati u pubbliċi għal </w:t>
      </w:r>
      <w:proofErr w:type="spellStart"/>
      <w:r>
        <w:rPr>
          <w:rFonts w:ascii="EC Square Sans Pro" w:hAnsi="EC Square Sans Pro"/>
          <w:sz w:val="22"/>
          <w:szCs w:val="22"/>
        </w:rPr>
        <w:t>investiment</w:t>
      </w:r>
      <w:proofErr w:type="spellEnd"/>
      <w:r>
        <w:rPr>
          <w:rFonts w:ascii="EC Square Sans Pro" w:hAnsi="EC Square Sans Pro"/>
          <w:sz w:val="22"/>
          <w:szCs w:val="22"/>
        </w:rPr>
        <w:t xml:space="preserve"> ta’ kwalità fil-ħiliet għall-persuni kollha fl-età tax-xogħol madwar l-Unjoni, </w:t>
      </w:r>
      <w:r>
        <w:rPr>
          <w:rFonts w:ascii="EC Square Sans Pro" w:hAnsi="EC Square Sans Pro"/>
          <w:b/>
          <w:sz w:val="22"/>
          <w:szCs w:val="22"/>
        </w:rPr>
        <w:t>u għandna nirrispettaw u nżommu l-prinċipji ewlenin li ġejjin</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Il-promozzjoni ta’ kultura ta’ apprendiment tul il-ħajja għal kulħadd</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Il-bini ta’ sħubijiet tal-ħiliet b’saħħithom</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Il-monitoraġġ tal-provvista/tad-domanda tal-ħiliet u l-antiċipazzjoni tal-ħtiġijiet b’rabta mal-ħiliet</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Il-ħidma kontra d-diskriminazzjoni u favur l-ugwaljanza bejn il-ġeneri u l-opportunitajiet indaqs</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Lista ta’ firmatarji</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lastRenderedPageBreak/>
        <w:t>BINI TA’ IMPENJI KONKRETI</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Minbarra li jirrispettaw u jiddefendu l-prinċipji ewlenin, il-firmatarji tal-Patt għall-Ħiliet huma mħeġġa bil-qawwa biex iressqu impenji konkreti biex jimplimentaw l-azzjoni(</w:t>
      </w:r>
      <w:proofErr w:type="spellStart"/>
      <w:r>
        <w:rPr>
          <w:rFonts w:ascii="EC Square Sans Pro" w:hAnsi="EC Square Sans Pro"/>
          <w:sz w:val="22"/>
          <w:szCs w:val="22"/>
        </w:rPr>
        <w:t>jiet</w:t>
      </w:r>
      <w:proofErr w:type="spellEnd"/>
      <w:r>
        <w:rPr>
          <w:rFonts w:ascii="EC Square Sans Pro" w:hAnsi="EC Square Sans Pro"/>
          <w:sz w:val="22"/>
          <w:szCs w:val="22"/>
        </w:rPr>
        <w:t xml:space="preserve">) għat-titjib tal-ħiliet jew għat-taħriġ mill-ġdid, u b’hekk iwettqu l-prinċipji ewlenin tal-Patt. Dan jista’ jsir b’modi differenti, skont il-kuntest, l-ekosistema industrijali u t-tip ta’ organizzazzjonijiet involuti, kemm jekk ikunu kumpaniji individwali jew organizzazzjonijiet oħrajn, jew sħubijiet.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Din li ġejja hija lista indikattiva u mhux eżawrjenti ta’ faċilitaturi li jistgħu jappoġġaw l-iżvilupp ta’ impenji konkreti. Meta jipproponu impenn, b’azzjoni/azzjonijiet konkreti ta’ titjib tal-ħiliet u ta’ taħriġ mill-ġdid, l-organizzazzjonijiet jew is-sħubijiet għandhom jagħżlu l-faċilitaturi rilevanti, u </w:t>
      </w:r>
      <w:proofErr w:type="spellStart"/>
      <w:r>
        <w:rPr>
          <w:rFonts w:ascii="EC Square Sans Pro" w:hAnsi="EC Square Sans Pro"/>
          <w:sz w:val="22"/>
          <w:szCs w:val="22"/>
        </w:rPr>
        <w:t>jadattawhom</w:t>
      </w:r>
      <w:proofErr w:type="spellEnd"/>
      <w:r>
        <w:rPr>
          <w:rFonts w:ascii="EC Square Sans Pro" w:hAnsi="EC Square Sans Pro"/>
          <w:sz w:val="22"/>
          <w:szCs w:val="22"/>
        </w:rPr>
        <w:t xml:space="preserve"> u </w:t>
      </w:r>
      <w:proofErr w:type="spellStart"/>
      <w:r>
        <w:rPr>
          <w:rFonts w:ascii="EC Square Sans Pro" w:hAnsi="EC Square Sans Pro"/>
          <w:sz w:val="22"/>
          <w:szCs w:val="22"/>
        </w:rPr>
        <w:t>jintegrawhom</w:t>
      </w:r>
      <w:proofErr w:type="spellEnd"/>
      <w:r>
        <w:rPr>
          <w:rFonts w:ascii="EC Square Sans Pro" w:hAnsi="EC Square Sans Pro"/>
          <w:sz w:val="22"/>
          <w:szCs w:val="22"/>
        </w:rPr>
        <w:t xml:space="preserve"> kif xieraq biex jaqblu mal-kontenut tal-impenn tagħhom. Għandhom jindikaw ukoll tal-anqas indikatur ta’ prestazzjoni ewlieni wieħed għall-monitoraġġ tal-impenn, pereżempju l-għadd ta’ persuni li jieħdu sehem fl-azzjoni ta’ titjib tal-ħiliet jew ta’ taħriġ mill-ġdid.</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Il-promozzjoni ta’ kultura ta’ apprendiment tul il-ħajja għal kulħadd</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L-organizzazzjoni tippromwovi l-ħiliet tan-nies tagħha bħala essenzjali għas-suċċess tagħha.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L-impjegaturi u l-ħaddiema huma konxji mill-valur u mill-benefiċċji tat-titjib tal-ħiliet u t-taħriġ mill-ġdid u huma mmotivati biex itejbu b’mod kostanti l-għarfien u l-ħiliet tagħhom.</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L-azzjoni hija żviluppata għall-ħaddiema u magħhom, u hija appoġġata mil-livelli kollha tal-maniġment.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Huma disponibbli gwida u appoġġ għall-iżvilupp tal-karriera.</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Jintużaw riżorsi finanzjarji xierqa.</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Isiru b’mod regolari monitoraġġ u valutazzjoni tal-kwalità.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Tingħata attenzjoni speċjali lit-titjib tal-ħiliet u lit-taħriġ mill-ġdid ta’ gruppi żvantaġġati inklużi ħaddiema aktar anzjani u adulti li qed ibatu fil-ħiliet bażiċi.</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Hemm appoġġ għall-maniġment u għall-persunal biex jitgħallmu u biex jegħlbu l-ostakli bħan-nuqqas ta’ ħin, ta’ fondi jew ta’ informazzjoni dwar l-opportunitajiet ta’ titjib tal-ħiliet jew ta’ taħriġ mill-ġdid.</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Hemm inċentivi finanzjarji u mhux finanzjarji għall-kumpaniji biex jipprovdu titjib tal-ħiliet u taħriġ mill-ġdid lill-impjegaturi u lill-persunal.</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Huwa disponibbli appoġġ dedikat (pereżempju għodod, servizzi u </w:t>
      </w:r>
      <w:proofErr w:type="spellStart"/>
      <w:r>
        <w:rPr>
          <w:rFonts w:ascii="EC Square Sans Pro" w:hAnsi="EC Square Sans Pro"/>
          <w:sz w:val="22"/>
          <w:szCs w:val="22"/>
        </w:rPr>
        <w:t>finanzjament</w:t>
      </w:r>
      <w:proofErr w:type="spellEnd"/>
      <w:r>
        <w:rPr>
          <w:rFonts w:ascii="EC Square Sans Pro" w:hAnsi="EC Square Sans Pro"/>
          <w:sz w:val="22"/>
          <w:szCs w:val="22"/>
        </w:rPr>
        <w:t>) għal kumpaniji mikro, żgħar jew ta’ daqs medju biex tinħoloq u tiġi sostnuta kultura ta’ apprendiment fl-organizzazzjoni kemm għall-maniġment kif ukoll għall-persunal.</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Il-bini ta’ sħubijiet tal-ħiliet b’saħħithom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Firxa wiesgħa ta’ partijiet ikkonċernati huma involuti, b’mod partikolari s-sħab soċjali, il-fornituri tat-taħriġ, l-awtoritajiet pubbliċi, ir-riċerkaturi, is-servizzi pubbliċi jew privati tal-impjiegi, il-kmamar tal-kummerċ u korpi intermedjarji oħra, u organizzazzjonijiet settorjali.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 xml:space="preserve">Is-sħubija f’ekosistema industrijali hija miftuħa għall-partijiet ikkonċernati rilevanti kollha biex </w:t>
      </w:r>
      <w:proofErr w:type="spellStart"/>
      <w:r>
        <w:rPr>
          <w:rFonts w:ascii="EC Square Sans Pro" w:hAnsi="EC Square Sans Pro"/>
          <w:sz w:val="22"/>
          <w:szCs w:val="22"/>
        </w:rPr>
        <w:t>jippuljaw</w:t>
      </w:r>
      <w:proofErr w:type="spellEnd"/>
      <w:r>
        <w:rPr>
          <w:rFonts w:ascii="EC Square Sans Pro" w:hAnsi="EC Square Sans Pro"/>
          <w:sz w:val="22"/>
          <w:szCs w:val="22"/>
        </w:rPr>
        <w:t xml:space="preserve"> l-għarfien espert u r-riżorsi lejn azzjonijiet konkreti li jippermettu lin-nies iżommu, ibiddlu u jsibu impjiegi ġodda.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Is-sħubija tikkoopera fil-livell Ewropew, jew nazzjonali, jew reġjonali jew lokali, kif xieraq.</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Il-kooperazzjoni transsettorjali hija appoġġata bejn is-sħubijiet rilevanti fis-setturi/fl-ekosistemi industrijali.</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Ir-responsabbiltà kondiviża u r-rwol proattiv ta’ kull sieħeb huma żgurati.</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Il-membri tas-sħubija għandhom djalogu miftuħ, u jaqsmu u jiskambjaw l-għarfien biex jiżguraw il-kwalità għolja tal-offerta ta’ taħriġ inkluża l-kwalità tal-għalliema/ta’ min iħarreġ u tal-programmi ta’ taħriġ.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Is-sħubija tibni l-azzjoni tagħha fuq għodod ittestjati iżda tiżviluppa wkoll soluzzjonijiet innovattivi.</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Il-monitoraġġ tal-provvista/tad-domanda tal-ħiliet u l-antiċipazzjoni tal-ħtiġijiet b'rabta mal-ħiliet</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Id-domanda għall-ħiliet u l-provvista ta’ ħiliet (relatati mal-impjieg u trasversali) jiġu mmonitorjati regolarment u l-ħtiġijiet b'rabta mal-ħiliet jiġu kkomunikati b’mod ċar lill-individwi.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L-antiċipazzjoni tal-ħiliet tqis il-ħtieġa li t-tranżizzjonijiet diġitali u ekoloġiċi jiġu appoġġati u l-konsegwenzi tat-tibdil demografiku.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Il-monitoraġġ tad-domanda u tal-provvista tal-ħiliet iħares lejn il-ħtiġijiet b'rabta mal-ħiliet għall-forza tax-xogħol u l-kumpaniji fil-livell reġjonali, nazzjonali u Ewropew.</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L-antiċipazzjoni tal-ħiliet tinkludi l-bidliet mgħaġġla fis-suq tax-xogħol u tipprovdi informazzjoni rilevanti u f’waqtha dwar il-ħtiġijiet b'rabta mal-ħiliet.</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L-antiċipazzjoni tal-ħiliet tqis l-iżviluppi reġjonali, nazzjonali u Ewropej.</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Il-mekkaniżmu ta’ monitoraġġ jinkludi mhux biss il-ħtiġijiet relatati mal-impjiegi iżda wkoll il-ħtiġijiet b’rabta mal-ħiliet trasversali u bażiċi.</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L-azzjoni hija mibnija fuq il-ħtiġijiet b’rabta mal-ħiliet identifikati, kemm il-kompetenzi relatati mal-impjiegi kif ukoll dawk personali.</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Il-ħidma kontra d-diskriminazzjoni u favur l-ugwaljanza bejn il-ġeneri u l-opportunitajiet indaqs</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L-opportunitajiet indaqs jiġu promossi b’mod attiv permezz tal-azzjoni, irrispettivament mill-ġeneru, mill-oriġini razzjali jew etnika, mir-reliġjon jew mit-twemmin, mid-diżabilità, mill-età jew mill-orjentazzjoni sesswali;</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L-azzjoni tipprovdi aċċess għal opportunitajiet ta’ titjib tal-ħiliet/ta’ taħriġ mill-ġdid ta’ kwalità għolja għal kulħadd fil-popolazzjoni fil-mira, irrispettivament mill-ġeneru, mill-</w:t>
      </w:r>
      <w:r>
        <w:rPr>
          <w:rFonts w:ascii="EC Square Sans Pro" w:hAnsi="EC Square Sans Pro"/>
          <w:sz w:val="22"/>
          <w:szCs w:val="22"/>
        </w:rPr>
        <w:lastRenderedPageBreak/>
        <w:t xml:space="preserve">oriġini razzjali jew etnika, mir-reliġjon jew mit-twemmin, </w:t>
      </w:r>
      <w:proofErr w:type="spellStart"/>
      <w:r>
        <w:rPr>
          <w:rFonts w:ascii="EC Square Sans Pro" w:hAnsi="EC Square Sans Pro"/>
          <w:sz w:val="22"/>
          <w:szCs w:val="22"/>
        </w:rPr>
        <w:t>mid</w:t>
      </w:r>
      <w:proofErr w:type="spellEnd"/>
      <w:r>
        <w:rPr>
          <w:rFonts w:ascii="EC Square Sans Pro" w:hAnsi="EC Square Sans Pro"/>
          <w:sz w:val="22"/>
          <w:szCs w:val="22"/>
        </w:rPr>
        <w:t>-diżabbiltà, mill-età</w:t>
      </w:r>
      <w:r w:rsidRPr="0059792B">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jew mill-orjentazzjoni sesswali.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Il-validazzjoni u r-rikonoxximent tal-ħiliet miksuba (inkluż il-kredenzjali mikro) huma inkorporati fl-azzjoni.</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Jitqiesu l-ħtiġijiet u l-kapaċitajiet tal-individwi, inkluż il-ħtiġijiet personali u vokazzjonali tagħhom (pereżempju bidla fil-karriera ta’ nofs il-ħajja);</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t xml:space="preserve">L-azzjoni hija flessibbli, </w:t>
      </w:r>
      <w:proofErr w:type="spellStart"/>
      <w:r>
        <w:rPr>
          <w:rFonts w:ascii="EC Square Sans Pro" w:hAnsi="EC Square Sans Pro"/>
          <w:sz w:val="22"/>
          <w:szCs w:val="22"/>
        </w:rPr>
        <w:t>modulari</w:t>
      </w:r>
      <w:proofErr w:type="spellEnd"/>
      <w:r>
        <w:rPr>
          <w:rFonts w:ascii="EC Square Sans Pro" w:hAnsi="EC Square Sans Pro"/>
          <w:sz w:val="22"/>
          <w:szCs w:val="22"/>
        </w:rPr>
        <w:t xml:space="preserve"> u meta possibbli pprovduta permezz ta’ għodod (inklużi għodod diġitali) li jiżguraw aċċess għall-apprendiment għall-persuni kollha fl-età tax-xogħol.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altName w:val="Bahnschrift Light"/>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r>
      <w:r>
        <w:tab/>
        <w:t xml:space="preserve">Bħall-Fond Soċjali Ewropew </w:t>
      </w:r>
      <w:proofErr w:type="spellStart"/>
      <w:r>
        <w:t>Plus</w:t>
      </w:r>
      <w:proofErr w:type="spellEnd"/>
      <w:r>
        <w:t>, ir-REACT_EU, il-Fond għal Tranżizzjoni Ġusta, l-Erasmus+, l-Orizzont Ewropa, l-Ewropa Diġitali, il-Fond Ewropew għall-Iżvilupp Reġjonali, l-</w:t>
      </w:r>
      <w:proofErr w:type="spellStart"/>
      <w:r>
        <w:t>InvestEU</w:t>
      </w:r>
      <w:proofErr w:type="spellEnd"/>
      <w:r>
        <w:t xml:space="preserve"> u l-Fond għall-Modernizzazzjoni.</w:t>
      </w:r>
    </w:p>
  </w:footnote>
  <w:footnote w:id="3">
    <w:p w14:paraId="0A32517E" w14:textId="16C3F6B3" w:rsidR="00774040" w:rsidRDefault="00774040">
      <w:pPr>
        <w:pStyle w:val="FootnoteText"/>
      </w:pPr>
      <w:r>
        <w:rPr>
          <w:rStyle w:val="FootnoteReference"/>
        </w:rPr>
        <w:footnoteRef/>
      </w:r>
      <w:r>
        <w:t xml:space="preserve"> </w:t>
      </w:r>
      <w:r>
        <w:tab/>
      </w:r>
      <w:r>
        <w:t>Sakemm ma jkunx iġġustifikat min-natura tal-azzjoni, pereżempju l-inizjattivi tat-titjib tal-ħiliet u ta’ taħriġ mill-ġdid immirati lejn ħaddiema aktar anzjani, jew lejn rekluti iżgħar.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2EC5"/>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mt-MT"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mt-MT"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806D09-2034-4550-AFE1-F2B6F7549CF3}">
  <ds:schemaRefs>
    <ds:schemaRef ds:uri="http://schemas.openxmlformats.org/officeDocument/2006/bibliography"/>
  </ds:schemaRefs>
</ds:datastoreItem>
</file>

<file path=customXml/itemProps2.xml><?xml version="1.0" encoding="utf-8"?>
<ds:datastoreItem xmlns:ds="http://schemas.openxmlformats.org/officeDocument/2006/customXml" ds:itemID="{E52C0262-4664-4D0B-ADAD-7DAC52FB02CD}"/>
</file>

<file path=customXml/itemProps3.xml><?xml version="1.0" encoding="utf-8"?>
<ds:datastoreItem xmlns:ds="http://schemas.openxmlformats.org/officeDocument/2006/customXml" ds:itemID="{CED70813-9CF4-4E29-ADF6-71E4B7C19AFF}"/>
</file>

<file path=customXml/itemProps4.xml><?xml version="1.0" encoding="utf-8"?>
<ds:datastoreItem xmlns:ds="http://schemas.openxmlformats.org/officeDocument/2006/customXml" ds:itemID="{A2DD28C2-41D7-4686-9C75-D9BFCD25070E}"/>
</file>

<file path=docProps/app.xml><?xml version="1.0" encoding="utf-8"?>
<Properties xmlns="http://schemas.openxmlformats.org/officeDocument/2006/extended-properties" xmlns:vt="http://schemas.openxmlformats.org/officeDocument/2006/docPropsVTypes">
  <Template>Normal</Template>
  <TotalTime>0</TotalTime>
  <Pages>6</Pages>
  <Words>1719</Words>
  <Characters>10131</Characters>
  <Application>Microsoft Office Word</Application>
  <DocSecurity>0</DocSecurity>
  <Lines>191</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