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B5B14"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41D680A4"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1133118D"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5F0AC7A6"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1E5CB2C5"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339E13DA" w14:textId="3B9A0272" w:rsidR="000D72F3" w:rsidRPr="0059792B" w:rsidRDefault="000D72F3" w:rsidP="000D72F3">
      <w:pPr>
        <w:pStyle w:val="Briefingtext"/>
        <w:spacing w:after="0" w:line="276" w:lineRule="auto"/>
        <w:rPr>
          <w:rFonts w:ascii="EC Square Sans Pro" w:hAnsi="EC Square Sans Pro"/>
          <w:b/>
          <w:sz w:val="28"/>
          <w:szCs w:val="28"/>
          <w14:ligatures w14:val="none"/>
        </w:rPr>
      </w:pPr>
      <w:r>
        <w:rPr>
          <w:rFonts w:ascii="EC Square Sans Pro" w:hAnsi="EC Square Sans Pro"/>
          <w:b/>
          <w:sz w:val="28"/>
          <w:szCs w:val="28"/>
        </w:rPr>
        <w:t xml:space="preserve">ПАКТ ЗА УМЕНИЯ </w:t>
      </w:r>
    </w:p>
    <w:p w14:paraId="526C6CDC" w14:textId="77777777" w:rsidR="000D72F3" w:rsidRPr="0059792B" w:rsidRDefault="000D72F3" w:rsidP="000D72F3">
      <w:pPr>
        <w:pStyle w:val="Briefingtext"/>
        <w:spacing w:after="0" w:line="276" w:lineRule="auto"/>
        <w:rPr>
          <w:rFonts w:ascii="EC Square Sans Pro" w:hAnsi="EC Square Sans Pro"/>
          <w14:ligatures w14:val="none"/>
        </w:rPr>
      </w:pPr>
    </w:p>
    <w:p w14:paraId="24990585" w14:textId="77777777" w:rsidR="000D72F3" w:rsidRPr="0059792B" w:rsidRDefault="000D72F3" w:rsidP="000D72F3">
      <w:pPr>
        <w:pStyle w:val="Briefingtext"/>
        <w:spacing w:after="0" w:line="276" w:lineRule="auto"/>
        <w:rPr>
          <w:rFonts w:ascii="EC Square Sans Pro" w:hAnsi="EC Square Sans Pro"/>
          <w14:ligatures w14:val="none"/>
        </w:rPr>
      </w:pPr>
      <w:r>
        <w:rPr>
          <w:rFonts w:ascii="EC Square Sans Pro" w:hAnsi="EC Square Sans Pro"/>
        </w:rPr>
        <w:t>Налице е голям потенциал за насърчаване на съвместните действия, за да се увеличи максимално въздействието на инвестициите в умения. Политиките и действията в областта на уменията се споделят между много участници. Предприятията, работниците, доставчиците на образование и обучение, националните, регионалните и местните органи, търговските камари и службите по заетостта са сред тези, които допринасят за това повишаването на квалификацията и преквалифицирането да се превърнат в реалност. Съгласуваните усилия могат да внесат яснота за физическите лица и предприятията по цялата верига за създаване на стойност, да намалят разходите и да се съсредоточат върху приоритетите.</w:t>
      </w:r>
    </w:p>
    <w:p w14:paraId="1D7591BD" w14:textId="77777777" w:rsidR="000D72F3" w:rsidRPr="0059792B" w:rsidRDefault="000D72F3" w:rsidP="000D72F3">
      <w:pPr>
        <w:pStyle w:val="Briefingtext"/>
        <w:spacing w:after="0" w:line="276" w:lineRule="auto"/>
        <w:rPr>
          <w:rFonts w:ascii="EC Square Sans Pro" w:hAnsi="EC Square Sans Pro"/>
          <w14:ligatures w14:val="none"/>
        </w:rPr>
      </w:pPr>
    </w:p>
    <w:p w14:paraId="4264D202" w14:textId="77777777" w:rsidR="000D72F3" w:rsidRPr="0059792B" w:rsidRDefault="000D72F3" w:rsidP="000D72F3">
      <w:pPr>
        <w:pStyle w:val="Briefingtext"/>
        <w:tabs>
          <w:tab w:val="left" w:pos="-31680"/>
        </w:tabs>
        <w:spacing w:before="120" w:after="0" w:line="276" w:lineRule="auto"/>
        <w:rPr>
          <w:rFonts w:ascii="EC Square Sans Pro" w:hAnsi="EC Square Sans Pro"/>
          <w14:ligatures w14:val="none"/>
        </w:rPr>
      </w:pPr>
      <w:r>
        <w:rPr>
          <w:rFonts w:ascii="EC Square Sans Pro" w:hAnsi="EC Square Sans Pro"/>
        </w:rPr>
        <w:t xml:space="preserve">Ето защо Комисията стартира Пакт за умения — споделен ангажимент и подход към развитието на уменията. Пактът се опира на принципите на Европейския стълб на социалните права и подкрепя целите на Зеления пакт и цифровата трансформация, както е посочено в съобщението на Комисията „Силна социална Европа за справедливи промени“. </w:t>
      </w:r>
    </w:p>
    <w:p w14:paraId="30D9621B" w14:textId="77777777" w:rsidR="000D72F3" w:rsidRPr="0059792B" w:rsidRDefault="000D72F3" w:rsidP="000D72F3">
      <w:pPr>
        <w:pStyle w:val="Briefingtext"/>
        <w:tabs>
          <w:tab w:val="left" w:pos="-31680"/>
        </w:tabs>
        <w:spacing w:before="120" w:after="0" w:line="276" w:lineRule="auto"/>
        <w:rPr>
          <w:rFonts w:ascii="EC Square Sans Pro" w:hAnsi="EC Square Sans Pro"/>
          <w14:ligatures w14:val="none"/>
        </w:rPr>
      </w:pPr>
      <w:r>
        <w:rPr>
          <w:rFonts w:ascii="EC Square Sans Pro" w:hAnsi="EC Square Sans Pro"/>
        </w:rPr>
        <w:t xml:space="preserve">Пактът има за цел да мобилизира и стимулира заинтересованите страни от частния и публичния сектор да предприемат конкретни действия за повишаване на квалификацията и преквалифициране на хората в трудоспособна възраст и, когато е уместно, да обединят усилията си в партньорства. </w:t>
      </w:r>
    </w:p>
    <w:p w14:paraId="1E95754F" w14:textId="77777777" w:rsidR="000D72F3" w:rsidRPr="0059792B" w:rsidRDefault="000D72F3" w:rsidP="000D72F3">
      <w:pPr>
        <w:pStyle w:val="Briefingtext"/>
        <w:tabs>
          <w:tab w:val="left" w:pos="-31680"/>
        </w:tabs>
        <w:spacing w:before="120" w:after="0" w:line="276" w:lineRule="auto"/>
        <w:rPr>
          <w:rFonts w:ascii="EC Square Sans Pro" w:hAnsi="EC Square Sans Pro" w:cs="Calibri"/>
          <w:b/>
        </w:rPr>
      </w:pPr>
      <w:r>
        <w:rPr>
          <w:rFonts w:ascii="EC Square Sans Pro" w:hAnsi="EC Square Sans Pro"/>
          <w:b/>
        </w:rPr>
        <w:t>Присъединяване към Пакта</w:t>
      </w:r>
    </w:p>
    <w:p w14:paraId="66C226D2" w14:textId="77777777" w:rsidR="000D72F3" w:rsidRPr="0059792B" w:rsidRDefault="000D72F3" w:rsidP="000D72F3">
      <w:pPr>
        <w:pStyle w:val="Briefingtext"/>
        <w:numPr>
          <w:ilvl w:val="3"/>
          <w:numId w:val="8"/>
        </w:numPr>
        <w:tabs>
          <w:tab w:val="left" w:pos="-31680"/>
        </w:tabs>
        <w:spacing w:before="120" w:after="0" w:line="276" w:lineRule="auto"/>
        <w:ind w:left="360"/>
        <w:rPr>
          <w:rFonts w:ascii="EC Square Sans Pro" w:hAnsi="EC Square Sans Pro"/>
          <w14:ligatures w14:val="none"/>
        </w:rPr>
      </w:pPr>
      <w:r>
        <w:rPr>
          <w:rFonts w:ascii="EC Square Sans Pro" w:hAnsi="EC Square Sans Pro"/>
        </w:rPr>
        <w:t xml:space="preserve">Всички заинтересовани страни, които се присъединяват към Пакта, подписват Хартата и нейните основни принципи и са съгласни да ги спазват и отстояват. </w:t>
      </w:r>
    </w:p>
    <w:p w14:paraId="41583F4C" w14:textId="77777777" w:rsidR="000D72F3" w:rsidRPr="0059792B" w:rsidRDefault="000D72F3" w:rsidP="000D72F3">
      <w:pPr>
        <w:pStyle w:val="Text1"/>
        <w:numPr>
          <w:ilvl w:val="3"/>
          <w:numId w:val="8"/>
        </w:numPr>
        <w:spacing w:before="120" w:after="0" w:line="276" w:lineRule="auto"/>
        <w:ind w:left="360"/>
        <w:rPr>
          <w:rFonts w:ascii="EC Square Sans Pro" w:hAnsi="EC Square Sans Pro"/>
          <w:sz w:val="22"/>
          <w:szCs w:val="22"/>
        </w:rPr>
      </w:pPr>
      <w:r>
        <w:rPr>
          <w:rFonts w:ascii="EC Square Sans Pro" w:hAnsi="EC Square Sans Pro"/>
          <w:sz w:val="22"/>
          <w:szCs w:val="22"/>
        </w:rPr>
        <w:t>Страните, подписали Пакта, се приканват да превърнат участието си в конкретни ангажименти за повишаване на квалификацията и преквалифициране. Ангажиментите трябва да бъдат в съответствие с основните принципи и могат да бъдат изградени около редица „способстващи фактори“, които илюстрират конкретни начини за прилагане на различните принципи.</w:t>
      </w:r>
    </w:p>
    <w:p w14:paraId="71812DDC" w14:textId="77777777" w:rsidR="000D72F3" w:rsidRPr="0059792B" w:rsidRDefault="000D72F3" w:rsidP="000D72F3">
      <w:pPr>
        <w:pStyle w:val="Text1"/>
        <w:numPr>
          <w:ilvl w:val="3"/>
          <w:numId w:val="8"/>
        </w:numPr>
        <w:spacing w:before="120" w:after="0" w:line="276" w:lineRule="auto"/>
        <w:ind w:left="360"/>
        <w:rPr>
          <w:rFonts w:ascii="EC Square Sans Pro" w:hAnsi="EC Square Sans Pro"/>
          <w:sz w:val="22"/>
          <w:szCs w:val="22"/>
        </w:rPr>
      </w:pPr>
      <w:r>
        <w:rPr>
          <w:rFonts w:ascii="EC Square Sans Pro" w:hAnsi="EC Square Sans Pro"/>
          <w:sz w:val="22"/>
          <w:szCs w:val="22"/>
        </w:rPr>
        <w:t>Поетите ангажименти се наблюдават чрез поне един ключов показател за изпълнението, например брой на хората, които участват в дейност за повишаване на квалификацията или преквалифициране.</w:t>
      </w:r>
    </w:p>
    <w:p w14:paraId="03C9364E" w14:textId="0123DB82" w:rsidR="000D72F3" w:rsidRPr="0059792B" w:rsidRDefault="000D72F3" w:rsidP="000D72F3">
      <w:pPr>
        <w:widowControl w:val="0"/>
        <w:rPr>
          <w:rFonts w:ascii="EC Square Sans Pro" w:hAnsi="EC Square Sans Pro" w:cs="Calibri"/>
          <w:b/>
          <w:sz w:val="22"/>
          <w:szCs w:val="22"/>
        </w:rPr>
      </w:pPr>
      <w:r>
        <w:rPr>
          <w:rFonts w:ascii="EC Square Sans Pro" w:hAnsi="EC Square Sans Pro"/>
          <w:b/>
          <w:sz w:val="22"/>
          <w:szCs w:val="22"/>
        </w:rPr>
        <w:t>Основни принципи на Хартата:</w:t>
      </w:r>
    </w:p>
    <w:p w14:paraId="5934F8AB" w14:textId="77777777" w:rsidR="000D72F3" w:rsidRPr="0059792B" w:rsidRDefault="000D72F3" w:rsidP="000D72F3">
      <w:pPr>
        <w:pStyle w:val="Text1"/>
        <w:numPr>
          <w:ilvl w:val="0"/>
          <w:numId w:val="9"/>
        </w:numPr>
        <w:spacing w:before="120" w:after="0" w:line="276" w:lineRule="auto"/>
        <w:rPr>
          <w:rFonts w:ascii="EC Square Sans Pro" w:hAnsi="EC Square Sans Pro"/>
          <w:sz w:val="22"/>
          <w:szCs w:val="22"/>
        </w:rPr>
      </w:pPr>
      <w:r>
        <w:rPr>
          <w:rFonts w:ascii="EC Square Sans Pro" w:hAnsi="EC Square Sans Pro"/>
          <w:sz w:val="22"/>
          <w:szCs w:val="22"/>
        </w:rPr>
        <w:t>Насърчаване на култура на учене през целия живот за всички</w:t>
      </w:r>
    </w:p>
    <w:p w14:paraId="6034AA03"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Изграждане на силни партньорства за умения</w:t>
      </w:r>
    </w:p>
    <w:p w14:paraId="5F6B1286"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Наблюдение на предлагането/търсенето на умения и прогнозиране на нуждите от умения</w:t>
      </w:r>
    </w:p>
    <w:p w14:paraId="29B28BED"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Работа срещу дискриминацията, за равенство между половете и за равни възможности</w:t>
      </w:r>
    </w:p>
    <w:p w14:paraId="41AED67E" w14:textId="77777777" w:rsidR="000D72F3" w:rsidRPr="0059792B" w:rsidRDefault="000D72F3" w:rsidP="000D72F3">
      <w:pPr>
        <w:widowControl w:val="0"/>
        <w:rPr>
          <w:rFonts w:ascii="EC Square Sans Pro" w:hAnsi="EC Square Sans Pro" w:cs="Calibri"/>
          <w:b/>
          <w:sz w:val="22"/>
          <w:szCs w:val="22"/>
        </w:rPr>
      </w:pPr>
      <w:r>
        <w:rPr>
          <w:rFonts w:ascii="EC Square Sans Pro" w:hAnsi="EC Square Sans Pro"/>
          <w:b/>
          <w:sz w:val="22"/>
          <w:szCs w:val="22"/>
        </w:rPr>
        <w:t>Пактът може да бъде изпълняван от:</w:t>
      </w:r>
    </w:p>
    <w:p w14:paraId="6B677FFB" w14:textId="77777777" w:rsidR="000D72F3" w:rsidRPr="0059792B" w:rsidRDefault="000D72F3" w:rsidP="000D72F3">
      <w:pPr>
        <w:pStyle w:val="Text1"/>
        <w:numPr>
          <w:ilvl w:val="0"/>
          <w:numId w:val="10"/>
        </w:numPr>
        <w:spacing w:before="120" w:after="0" w:line="276" w:lineRule="auto"/>
        <w:rPr>
          <w:rFonts w:ascii="EC Square Sans Pro" w:hAnsi="EC Square Sans Pro"/>
          <w:sz w:val="22"/>
          <w:szCs w:val="22"/>
        </w:rPr>
      </w:pPr>
      <w:r>
        <w:rPr>
          <w:rFonts w:ascii="EC Square Sans Pro" w:hAnsi="EC Square Sans Pro"/>
          <w:sz w:val="22"/>
          <w:szCs w:val="22"/>
        </w:rPr>
        <w:t>Отделни предприятия или други частни или публични организации</w:t>
      </w:r>
    </w:p>
    <w:p w14:paraId="7CA5A2B6" w14:textId="77777777" w:rsidR="000D72F3" w:rsidRPr="0059792B" w:rsidRDefault="000D72F3" w:rsidP="000D72F3">
      <w:pPr>
        <w:pStyle w:val="Text1"/>
        <w:numPr>
          <w:ilvl w:val="0"/>
          <w:numId w:val="10"/>
        </w:numPr>
        <w:spacing w:after="0" w:line="276" w:lineRule="auto"/>
        <w:rPr>
          <w:rFonts w:ascii="EC Square Sans Pro" w:hAnsi="EC Square Sans Pro"/>
          <w:sz w:val="22"/>
          <w:szCs w:val="22"/>
        </w:rPr>
      </w:pPr>
      <w:r>
        <w:rPr>
          <w:rFonts w:ascii="EC Square Sans Pro" w:hAnsi="EC Square Sans Pro"/>
          <w:sz w:val="22"/>
          <w:szCs w:val="22"/>
        </w:rPr>
        <w:lastRenderedPageBreak/>
        <w:t>Регионални или местни партньорства</w:t>
      </w:r>
    </w:p>
    <w:p w14:paraId="79601AEC" w14:textId="77777777" w:rsidR="000D72F3" w:rsidRPr="0059792B" w:rsidRDefault="000D72F3" w:rsidP="000D72F3">
      <w:pPr>
        <w:pStyle w:val="Text1"/>
        <w:numPr>
          <w:ilvl w:val="0"/>
          <w:numId w:val="10"/>
        </w:numPr>
        <w:spacing w:after="0" w:line="276" w:lineRule="auto"/>
        <w:rPr>
          <w:rFonts w:ascii="EC Square Sans Pro" w:hAnsi="EC Square Sans Pro"/>
          <w:sz w:val="22"/>
          <w:szCs w:val="22"/>
        </w:rPr>
      </w:pPr>
      <w:r>
        <w:rPr>
          <w:rFonts w:ascii="EC Square Sans Pro" w:hAnsi="EC Square Sans Pro"/>
          <w:sz w:val="22"/>
          <w:szCs w:val="22"/>
        </w:rPr>
        <w:t xml:space="preserve">Индустриални или </w:t>
      </w:r>
      <w:proofErr w:type="spellStart"/>
      <w:r>
        <w:rPr>
          <w:rFonts w:ascii="EC Square Sans Pro" w:hAnsi="EC Square Sans Pro"/>
          <w:sz w:val="22"/>
          <w:szCs w:val="22"/>
        </w:rPr>
        <w:t>междусекторни</w:t>
      </w:r>
      <w:proofErr w:type="spellEnd"/>
      <w:r>
        <w:rPr>
          <w:rFonts w:ascii="EC Square Sans Pro" w:hAnsi="EC Square Sans Pro"/>
          <w:sz w:val="22"/>
          <w:szCs w:val="22"/>
        </w:rPr>
        <w:t xml:space="preserve"> партньорства</w:t>
      </w:r>
    </w:p>
    <w:p w14:paraId="76F5C4D8" w14:textId="77777777" w:rsidR="000D72F3" w:rsidRPr="0059792B" w:rsidRDefault="000D72F3" w:rsidP="000D72F3">
      <w:pPr>
        <w:pStyle w:val="Text1"/>
        <w:spacing w:before="120" w:after="0" w:line="276" w:lineRule="auto"/>
        <w:ind w:left="0"/>
        <w:rPr>
          <w:rFonts w:ascii="EC Square Sans Pro" w:hAnsi="EC Square Sans Pro"/>
          <w:sz w:val="22"/>
          <w:szCs w:val="22"/>
        </w:rPr>
      </w:pPr>
      <w:r>
        <w:rPr>
          <w:rFonts w:ascii="EC Square Sans Pro" w:hAnsi="EC Square Sans Pro"/>
          <w:b/>
          <w:sz w:val="22"/>
          <w:szCs w:val="22"/>
        </w:rPr>
        <w:t>Подкрепа по линия на Пакта:</w:t>
      </w:r>
    </w:p>
    <w:p w14:paraId="4D8D8F13" w14:textId="77777777" w:rsidR="000D72F3" w:rsidRPr="0059792B" w:rsidRDefault="000D72F3" w:rsidP="000D72F3">
      <w:pPr>
        <w:pStyle w:val="Text1"/>
        <w:spacing w:before="120" w:line="276" w:lineRule="auto"/>
        <w:ind w:left="0"/>
        <w:rPr>
          <w:rFonts w:ascii="EC Square Sans Pro" w:hAnsi="EC Square Sans Pro" w:cs="Calibri"/>
          <w:bCs/>
          <w:sz w:val="22"/>
          <w:szCs w:val="22"/>
        </w:rPr>
      </w:pPr>
      <w:r>
        <w:rPr>
          <w:rFonts w:ascii="EC Square Sans Pro" w:hAnsi="EC Square Sans Pro"/>
          <w:bCs/>
          <w:sz w:val="22"/>
          <w:szCs w:val="22"/>
        </w:rPr>
        <w:t>От 2021 г. Комисията ще подкрепя страните, подписали Пакта, чрез специализирани услуги:</w:t>
      </w:r>
    </w:p>
    <w:p w14:paraId="4AB6A870"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b/>
          <w:bCs/>
          <w:sz w:val="22"/>
          <w:szCs w:val="22"/>
        </w:rPr>
        <w:t>Център за работа в мрежа</w:t>
      </w:r>
      <w:r>
        <w:rPr>
          <w:rFonts w:ascii="EC Square Sans Pro" w:hAnsi="EC Square Sans Pro"/>
          <w:sz w:val="22"/>
          <w:szCs w:val="22"/>
        </w:rPr>
        <w:t>, включително:</w:t>
      </w:r>
      <w:r>
        <w:rPr>
          <w:rFonts w:ascii="EC Square Sans Pro" w:hAnsi="EC Square Sans Pro"/>
          <w:bCs/>
          <w:sz w:val="22"/>
          <w:szCs w:val="22"/>
        </w:rPr>
        <w:t xml:space="preserve"> подкрепа за намирането на партньори и за първите срещи на партньорствата; свързване със съществуващите инструменти на ЕС, например </w:t>
      </w:r>
      <w:proofErr w:type="spellStart"/>
      <w:r>
        <w:rPr>
          <w:rFonts w:ascii="EC Square Sans Pro" w:hAnsi="EC Square Sans Pro"/>
          <w:bCs/>
          <w:sz w:val="22"/>
          <w:szCs w:val="22"/>
        </w:rPr>
        <w:t>Европас</w:t>
      </w:r>
      <w:proofErr w:type="spellEnd"/>
      <w:r>
        <w:rPr>
          <w:rFonts w:ascii="EC Square Sans Pro" w:hAnsi="EC Square Sans Pro"/>
          <w:bCs/>
          <w:sz w:val="22"/>
          <w:szCs w:val="22"/>
        </w:rPr>
        <w:t>, Панорама на уменията, EURES и Мрежата на публичните служби по заетостта; насърчаване на дейностите на членовете на Пакта.</w:t>
      </w:r>
    </w:p>
    <w:p w14:paraId="5C68B70A"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b/>
          <w:bCs/>
          <w:sz w:val="22"/>
          <w:szCs w:val="22"/>
        </w:rPr>
        <w:t>Център за знания</w:t>
      </w:r>
      <w:r>
        <w:rPr>
          <w:rFonts w:ascii="EC Square Sans Pro" w:hAnsi="EC Square Sans Pro"/>
          <w:sz w:val="22"/>
          <w:szCs w:val="22"/>
        </w:rPr>
        <w:t>, включително:</w:t>
      </w:r>
      <w:r>
        <w:rPr>
          <w:rFonts w:ascii="EC Square Sans Pro" w:hAnsi="EC Square Sans Pro"/>
          <w:bCs/>
          <w:sz w:val="22"/>
          <w:szCs w:val="22"/>
        </w:rPr>
        <w:t xml:space="preserve"> </w:t>
      </w:r>
      <w:proofErr w:type="spellStart"/>
      <w:r>
        <w:rPr>
          <w:rFonts w:ascii="EC Square Sans Pro" w:hAnsi="EC Square Sans Pro"/>
          <w:bCs/>
          <w:sz w:val="22"/>
          <w:szCs w:val="22"/>
        </w:rPr>
        <w:t>уебинари</w:t>
      </w:r>
      <w:proofErr w:type="spellEnd"/>
      <w:r>
        <w:rPr>
          <w:rFonts w:ascii="EC Square Sans Pro" w:hAnsi="EC Square Sans Pro"/>
          <w:bCs/>
          <w:sz w:val="22"/>
          <w:szCs w:val="22"/>
        </w:rPr>
        <w:t>, семинари, дейности за партньорско обучение; актуална информация относно политиките и инструментите на ЕС; информация за проекти, инструменти и най-добри практики</w:t>
      </w:r>
    </w:p>
    <w:p w14:paraId="3842D91E"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b/>
          <w:bCs/>
          <w:sz w:val="22"/>
          <w:szCs w:val="22"/>
        </w:rPr>
        <w:t>Център за насоки и ресурси</w:t>
      </w:r>
      <w:r>
        <w:rPr>
          <w:rFonts w:ascii="EC Square Sans Pro" w:hAnsi="EC Square Sans Pro"/>
          <w:sz w:val="22"/>
          <w:szCs w:val="22"/>
        </w:rPr>
        <w:t>, включително:</w:t>
      </w:r>
      <w:r>
        <w:rPr>
          <w:rFonts w:ascii="EC Square Sans Pro" w:hAnsi="EC Square Sans Pro"/>
          <w:bCs/>
          <w:sz w:val="22"/>
          <w:szCs w:val="22"/>
        </w:rPr>
        <w:t xml:space="preserve"> достъп до информация относно съответното финансиране от ЕС; насоки за набелязването на финансови възможности; улесняване на обмена между членовете на Пакта и националните/регионалните органи.</w:t>
      </w:r>
    </w:p>
    <w:p w14:paraId="77902F9C" w14:textId="77777777" w:rsidR="000D72F3" w:rsidRPr="00007FB5" w:rsidRDefault="000D72F3" w:rsidP="000D72F3">
      <w:pPr>
        <w:pStyle w:val="Text1"/>
        <w:spacing w:before="120" w:after="0" w:line="276" w:lineRule="auto"/>
        <w:ind w:left="0" w:right="113"/>
        <w:rPr>
          <w:rFonts w:ascii="EC Square Sans Pro" w:hAnsi="EC Square Sans Pro" w:cstheme="minorHAnsi"/>
          <w:sz w:val="22"/>
          <w:szCs w:val="22"/>
        </w:rPr>
      </w:pPr>
      <w:r>
        <w:rPr>
          <w:rFonts w:ascii="EC Square Sans Pro" w:hAnsi="EC Square Sans Pro"/>
          <w:bCs/>
          <w:sz w:val="22"/>
          <w:szCs w:val="22"/>
        </w:rPr>
        <w:t>Пактът може да се подпомага с общо финансиране от ЕС, а именно по линия на Механизма за възстановяване и устойчивост и съответните инструменти за финансиране по Многогодишната финансова рамка за периода 2021—2027 г.</w:t>
      </w:r>
      <w:r>
        <w:rPr>
          <w:rStyle w:val="FootnoteReference"/>
          <w:rFonts w:ascii="EC Square Sans Pro" w:hAnsi="EC Square Sans Pro" w:cs="Calibri"/>
          <w:bCs/>
          <w:sz w:val="22"/>
          <w:szCs w:val="22"/>
        </w:rPr>
        <w:footnoteReference w:id="2"/>
      </w:r>
      <w:r>
        <w:rPr>
          <w:rFonts w:ascii="EC Square Sans Pro" w:hAnsi="EC Square Sans Pro"/>
          <w:bCs/>
          <w:sz w:val="22"/>
          <w:szCs w:val="22"/>
        </w:rPr>
        <w:t>,  които следва да се използват пълноценно.</w:t>
      </w:r>
    </w:p>
    <w:p w14:paraId="3491745F" w14:textId="77777777" w:rsidR="000D72F3" w:rsidRDefault="000D72F3">
      <w:pPr>
        <w:spacing w:before="0" w:after="0"/>
        <w:jc w:val="left"/>
        <w:rPr>
          <w:rFonts w:ascii="EC Square Sans Pro" w:hAnsi="EC Square Sans Pro" w:cstheme="minorHAnsi"/>
          <w:b/>
          <w:sz w:val="28"/>
          <w:szCs w:val="28"/>
        </w:rPr>
      </w:pPr>
      <w:r>
        <w:br w:type="page"/>
      </w:r>
    </w:p>
    <w:p w14:paraId="2A1561AC" w14:textId="4BA50737" w:rsidR="000D72F3" w:rsidRDefault="000D72F3" w:rsidP="000D72F3">
      <w:pPr>
        <w:pStyle w:val="Text1"/>
        <w:spacing w:before="120" w:after="0" w:line="276" w:lineRule="auto"/>
        <w:ind w:left="0"/>
        <w:jc w:val="center"/>
        <w:rPr>
          <w:rFonts w:ascii="EC Square Sans Pro" w:hAnsi="EC Square Sans Pro" w:cstheme="minorHAnsi"/>
          <w:b/>
          <w:sz w:val="28"/>
          <w:szCs w:val="28"/>
        </w:rPr>
      </w:pPr>
      <w:r>
        <w:rPr>
          <w:rFonts w:ascii="EC Square Sans Pro" w:hAnsi="EC Square Sans Pro"/>
          <w:b/>
          <w:sz w:val="28"/>
          <w:szCs w:val="28"/>
        </w:rPr>
        <w:lastRenderedPageBreak/>
        <w:t>ХАРТА</w:t>
      </w:r>
    </w:p>
    <w:p w14:paraId="1C6F0AF6" w14:textId="1C920D4F" w:rsidR="002E3766" w:rsidRPr="0059792B" w:rsidRDefault="00C82E8D" w:rsidP="00610108">
      <w:pPr>
        <w:pStyle w:val="Text1"/>
        <w:spacing w:before="120" w:after="0" w:line="276" w:lineRule="auto"/>
        <w:ind w:left="0"/>
        <w:rPr>
          <w:rFonts w:ascii="EC Square Sans Pro" w:hAnsi="EC Square Sans Pro" w:cstheme="minorHAnsi"/>
          <w:b/>
          <w:sz w:val="28"/>
          <w:szCs w:val="28"/>
        </w:rPr>
      </w:pPr>
      <w:r>
        <w:rPr>
          <w:rFonts w:ascii="EC Square Sans Pro" w:hAnsi="EC Square Sans Pro"/>
          <w:b/>
          <w:sz w:val="28"/>
          <w:szCs w:val="28"/>
        </w:rPr>
        <w:t>ПРЕАМБЮЛ</w:t>
      </w:r>
    </w:p>
    <w:p w14:paraId="1E55824E" w14:textId="2680106D" w:rsidR="001A1133" w:rsidRDefault="001A1133"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Като вземаме предвид </w:t>
      </w:r>
      <w:r>
        <w:rPr>
          <w:rFonts w:ascii="EC Square Sans Pro" w:hAnsi="EC Square Sans Pro"/>
          <w:b/>
          <w:sz w:val="22"/>
          <w:szCs w:val="22"/>
        </w:rPr>
        <w:t>Европейския стълб на социалните права</w:t>
      </w:r>
      <w:r>
        <w:rPr>
          <w:rFonts w:ascii="EC Square Sans Pro" w:hAnsi="EC Square Sans Pro"/>
          <w:sz w:val="22"/>
          <w:szCs w:val="22"/>
        </w:rPr>
        <w:t>, който е компасът на ЕС за социално и приобщаващо възстановяване, както и за справедлив преход към неутралност по отношение на климата и цифрова Европа;</w:t>
      </w:r>
    </w:p>
    <w:p w14:paraId="5E808EE4" w14:textId="402D9D56" w:rsidR="00F17B01" w:rsidRPr="0059792B" w:rsidRDefault="0034151C"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Като признаваме, че в днешната и утрешната </w:t>
      </w:r>
      <w:r>
        <w:rPr>
          <w:rFonts w:ascii="EC Square Sans Pro" w:hAnsi="EC Square Sans Pro"/>
          <w:b/>
          <w:sz w:val="22"/>
          <w:szCs w:val="22"/>
        </w:rPr>
        <w:t>цифрова икономика</w:t>
      </w:r>
      <w:r>
        <w:rPr>
          <w:rFonts w:ascii="EC Square Sans Pro" w:hAnsi="EC Square Sans Pro"/>
          <w:sz w:val="22"/>
          <w:szCs w:val="22"/>
        </w:rPr>
        <w:t xml:space="preserve"> хората трябва да заемат централно място;</w:t>
      </w:r>
    </w:p>
    <w:p w14:paraId="133317F9" w14:textId="2DF09309" w:rsidR="00F17B01" w:rsidRPr="0059792B" w:rsidRDefault="00F17B01"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Като припомняме, че с </w:t>
      </w:r>
      <w:r>
        <w:rPr>
          <w:rFonts w:ascii="EC Square Sans Pro" w:hAnsi="EC Square Sans Pro"/>
          <w:b/>
          <w:sz w:val="22"/>
          <w:szCs w:val="22"/>
        </w:rPr>
        <w:t>Европейския зелен пакт</w:t>
      </w:r>
      <w:r>
        <w:rPr>
          <w:rFonts w:ascii="EC Square Sans Pro" w:hAnsi="EC Square Sans Pro"/>
          <w:sz w:val="22"/>
          <w:szCs w:val="22"/>
        </w:rPr>
        <w:t xml:space="preserve"> Европа отбеляза своята амбиция да се превърне в първия неутрален по отношение на климата континент до 2050 г.;</w:t>
      </w:r>
    </w:p>
    <w:p w14:paraId="4EF65972" w14:textId="7A984839" w:rsidR="00F17B01" w:rsidRPr="00F238E6" w:rsidRDefault="00F17B01" w:rsidP="00610108">
      <w:pPr>
        <w:pStyle w:val="Text1"/>
        <w:spacing w:before="120" w:after="0" w:line="276" w:lineRule="auto"/>
        <w:ind w:left="0"/>
        <w:rPr>
          <w:rFonts w:ascii="EC Square Sans Pro" w:hAnsi="EC Square Sans Pro" w:cstheme="minorHAnsi"/>
          <w:spacing w:val="-4"/>
          <w:sz w:val="22"/>
          <w:szCs w:val="22"/>
        </w:rPr>
      </w:pPr>
      <w:r w:rsidRPr="00F238E6">
        <w:rPr>
          <w:rFonts w:ascii="EC Square Sans Pro" w:hAnsi="EC Square Sans Pro"/>
          <w:spacing w:val="-4"/>
          <w:sz w:val="22"/>
          <w:szCs w:val="22"/>
        </w:rPr>
        <w:t xml:space="preserve">Като подкрепяме </w:t>
      </w:r>
      <w:r w:rsidRPr="00F238E6">
        <w:rPr>
          <w:rFonts w:ascii="EC Square Sans Pro" w:hAnsi="EC Square Sans Pro"/>
          <w:b/>
          <w:spacing w:val="-4"/>
          <w:sz w:val="22"/>
          <w:szCs w:val="22"/>
        </w:rPr>
        <w:t>стратегиите за промишлеността и МСП</w:t>
      </w:r>
      <w:r w:rsidRPr="00F238E6">
        <w:rPr>
          <w:rFonts w:ascii="EC Square Sans Pro" w:hAnsi="EC Square Sans Pro"/>
          <w:spacing w:val="-4"/>
          <w:sz w:val="22"/>
          <w:szCs w:val="22"/>
        </w:rPr>
        <w:t xml:space="preserve"> със силни устои на единния пазар, които дават възможност на нашите предприятия да правят нововъведения и да разработват нови технологии, като същевременно стимулират кръговата икономика и създават нови пазари;</w:t>
      </w:r>
    </w:p>
    <w:p w14:paraId="04E5A792" w14:textId="77777777" w:rsidR="00DB3BD1" w:rsidRPr="0059792B" w:rsidRDefault="00DB3BD1" w:rsidP="00DB3BD1">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Като сме твърдо убедени, че уменията са от ключово значение както за хората, така и за предприятията, за да се разкрият възможности за повече и по-добри работни места, както и за растеж и конкурентоспособност, както е посочено в </w:t>
      </w:r>
      <w:r>
        <w:rPr>
          <w:rFonts w:ascii="EC Square Sans Pro" w:hAnsi="EC Square Sans Pro"/>
          <w:b/>
          <w:sz w:val="22"/>
          <w:szCs w:val="22"/>
        </w:rPr>
        <w:t>Европейската програма за умения</w:t>
      </w:r>
      <w:r>
        <w:rPr>
          <w:rFonts w:ascii="EC Square Sans Pro" w:hAnsi="EC Square Sans Pro"/>
          <w:sz w:val="22"/>
          <w:szCs w:val="22"/>
        </w:rPr>
        <w:t xml:space="preserve"> за постигане на устойчива конкурентоспособност, социална справедливост и издръжливост; </w:t>
      </w:r>
    </w:p>
    <w:p w14:paraId="3EA00EB9" w14:textId="08100852" w:rsidR="00940BD0" w:rsidRDefault="00940BD0"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Като разбираме важната роля на предприятията и социалните партньори за определяне на нуждите от умения и подпомагане на развитието на съответните умения;</w:t>
      </w:r>
    </w:p>
    <w:p w14:paraId="55E6A4DF" w14:textId="68E35914" w:rsidR="00780965" w:rsidRPr="0059792B" w:rsidRDefault="00780965"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Като изтъкваме значението на социалния диалог за успешното повишаване на квалификацията и преквалифициране в Европа и като изцяло зачитаме националните системи, ролята на социалните партньори и колективните споразумения;</w:t>
      </w:r>
    </w:p>
    <w:p w14:paraId="44B30350" w14:textId="5C8315D9" w:rsidR="0080312A" w:rsidRPr="0059792B" w:rsidRDefault="00AE6569"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Като подчертаваме ползите от сътрудничеството и обмена между предприятията, работниците и регионалните и местните органи;</w:t>
      </w:r>
    </w:p>
    <w:p w14:paraId="476199EA" w14:textId="4E273BD0" w:rsidR="002E3766" w:rsidRPr="0059792B" w:rsidRDefault="003A2765"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Като отчитаме, че пандемията от COVID-19 засегна сериозно нашите общества и икономики, като показа значението на солидарността и бързите действия на ЕС за справедливо и устойчиво възстановяване; </w:t>
      </w:r>
    </w:p>
    <w:p w14:paraId="2E3800BA" w14:textId="1F648D91" w:rsidR="002E3766" w:rsidRPr="0059792B" w:rsidRDefault="002E3766"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b/>
          <w:sz w:val="22"/>
          <w:szCs w:val="22"/>
        </w:rPr>
        <w:t>Приветстваме Пакта за умения</w:t>
      </w:r>
      <w:r>
        <w:rPr>
          <w:rFonts w:ascii="EC Square Sans Pro" w:hAnsi="EC Square Sans Pro"/>
          <w:sz w:val="22"/>
          <w:szCs w:val="22"/>
        </w:rPr>
        <w:t xml:space="preserve">, иницииран от Европейската комисия, целящ да се мобилизират съгласувани усилия между частните и публичните партньори за качествени инвестиции в умения за всички хора в трудоспособна възраст в целия Съюз </w:t>
      </w:r>
      <w:r>
        <w:rPr>
          <w:rFonts w:ascii="EC Square Sans Pro" w:hAnsi="EC Square Sans Pro"/>
          <w:b/>
          <w:sz w:val="22"/>
          <w:szCs w:val="22"/>
        </w:rPr>
        <w:t>и ще спазваме и отстояваме следните основни принципи</w:t>
      </w:r>
      <w:r>
        <w:rPr>
          <w:rFonts w:ascii="EC Square Sans Pro" w:hAnsi="EC Square Sans Pro"/>
          <w:sz w:val="22"/>
          <w:szCs w:val="22"/>
        </w:rPr>
        <w:t>:</w:t>
      </w:r>
    </w:p>
    <w:p w14:paraId="66FFD0CB" w14:textId="5CBC9E99" w:rsidR="00610108" w:rsidRPr="0059792B" w:rsidRDefault="00610108" w:rsidP="00AB28CC">
      <w:pPr>
        <w:pStyle w:val="Text1"/>
        <w:numPr>
          <w:ilvl w:val="0"/>
          <w:numId w:val="2"/>
        </w:numPr>
        <w:spacing w:before="120" w:after="0" w:line="276" w:lineRule="auto"/>
        <w:rPr>
          <w:rFonts w:ascii="EC Square Sans Pro" w:hAnsi="EC Square Sans Pro"/>
          <w:sz w:val="22"/>
          <w:szCs w:val="22"/>
        </w:rPr>
      </w:pPr>
      <w:r>
        <w:rPr>
          <w:rFonts w:ascii="EC Square Sans Pro" w:hAnsi="EC Square Sans Pro"/>
          <w:b/>
          <w:bCs/>
          <w:sz w:val="22"/>
          <w:szCs w:val="22"/>
        </w:rPr>
        <w:t>Насърчаване на култура на учене през целия живот за всички</w:t>
      </w:r>
    </w:p>
    <w:p w14:paraId="5DC1E812" w14:textId="5C85E62B" w:rsidR="00610108" w:rsidRPr="0059792B" w:rsidRDefault="00610108" w:rsidP="00AB28CC">
      <w:pPr>
        <w:pStyle w:val="Text1"/>
        <w:numPr>
          <w:ilvl w:val="0"/>
          <w:numId w:val="2"/>
        </w:numPr>
        <w:spacing w:before="120" w:after="0" w:line="276" w:lineRule="auto"/>
        <w:jc w:val="left"/>
        <w:rPr>
          <w:rFonts w:ascii="EC Square Sans Pro" w:hAnsi="EC Square Sans Pro"/>
          <w:b/>
          <w:bCs/>
          <w:sz w:val="22"/>
          <w:szCs w:val="22"/>
        </w:rPr>
      </w:pPr>
      <w:r>
        <w:rPr>
          <w:rFonts w:ascii="EC Square Sans Pro" w:hAnsi="EC Square Sans Pro"/>
          <w:b/>
          <w:bCs/>
          <w:sz w:val="22"/>
          <w:szCs w:val="22"/>
        </w:rPr>
        <w:t>Изграждане на силни партньорства за умения</w:t>
      </w:r>
    </w:p>
    <w:p w14:paraId="66BE6F53" w14:textId="6F97C186" w:rsidR="00610108" w:rsidRPr="0059792B" w:rsidRDefault="00610108" w:rsidP="00AB28CC">
      <w:pPr>
        <w:pStyle w:val="Text1"/>
        <w:numPr>
          <w:ilvl w:val="0"/>
          <w:numId w:val="2"/>
        </w:numPr>
        <w:spacing w:before="120" w:after="0" w:line="276" w:lineRule="auto"/>
        <w:jc w:val="left"/>
        <w:rPr>
          <w:rFonts w:ascii="EC Square Sans Pro" w:hAnsi="EC Square Sans Pro"/>
          <w:b/>
          <w:bCs/>
          <w:sz w:val="22"/>
          <w:szCs w:val="22"/>
        </w:rPr>
      </w:pPr>
      <w:r>
        <w:rPr>
          <w:rFonts w:ascii="EC Square Sans Pro" w:hAnsi="EC Square Sans Pro"/>
          <w:b/>
          <w:bCs/>
          <w:sz w:val="22"/>
          <w:szCs w:val="22"/>
        </w:rPr>
        <w:t>Наблюдение на предлагането/търсенето на умения и прогнозиране на нуждите от умения</w:t>
      </w:r>
    </w:p>
    <w:p w14:paraId="53512182" w14:textId="72F0EC5A" w:rsidR="00610108" w:rsidRPr="0059792B" w:rsidRDefault="00610108" w:rsidP="00AB28CC">
      <w:pPr>
        <w:pStyle w:val="Text1"/>
        <w:numPr>
          <w:ilvl w:val="0"/>
          <w:numId w:val="2"/>
        </w:numPr>
        <w:spacing w:before="120" w:after="0" w:line="276" w:lineRule="auto"/>
        <w:jc w:val="left"/>
        <w:rPr>
          <w:rFonts w:ascii="EC Square Sans Pro" w:hAnsi="EC Square Sans Pro"/>
          <w:sz w:val="22"/>
          <w:szCs w:val="22"/>
        </w:rPr>
      </w:pPr>
      <w:r>
        <w:rPr>
          <w:rFonts w:ascii="EC Square Sans Pro" w:hAnsi="EC Square Sans Pro"/>
          <w:b/>
          <w:bCs/>
          <w:sz w:val="22"/>
          <w:szCs w:val="22"/>
        </w:rPr>
        <w:t>Работа срещу дискриминацията, за равенство между половете и за равни възможности</w:t>
      </w:r>
    </w:p>
    <w:p w14:paraId="27CEEABE" w14:textId="2013A847" w:rsidR="0080312A" w:rsidRDefault="0080312A" w:rsidP="0080312A">
      <w:pPr>
        <w:pStyle w:val="Text1"/>
        <w:spacing w:before="120" w:after="0" w:line="276" w:lineRule="auto"/>
        <w:ind w:left="0"/>
        <w:rPr>
          <w:rFonts w:ascii="EC Square Sans Pro" w:hAnsi="EC Square Sans Pro" w:cstheme="minorHAnsi"/>
          <w:sz w:val="22"/>
          <w:szCs w:val="22"/>
        </w:rPr>
      </w:pPr>
    </w:p>
    <w:p w14:paraId="2D2B741A" w14:textId="7711C7C8" w:rsidR="0059792B" w:rsidRPr="0059792B" w:rsidRDefault="0059792B" w:rsidP="0059792B">
      <w:pPr>
        <w:pStyle w:val="Text1"/>
        <w:spacing w:before="120" w:after="0" w:line="276" w:lineRule="auto"/>
        <w:ind w:left="0"/>
        <w:jc w:val="right"/>
        <w:rPr>
          <w:rFonts w:ascii="EC Square Sans Pro" w:hAnsi="EC Square Sans Pro" w:cstheme="minorHAnsi"/>
          <w:sz w:val="22"/>
          <w:szCs w:val="22"/>
        </w:rPr>
      </w:pPr>
      <w:r>
        <w:rPr>
          <w:rFonts w:ascii="EC Square Sans Pro" w:hAnsi="EC Square Sans Pro"/>
          <w:sz w:val="22"/>
          <w:szCs w:val="22"/>
        </w:rPr>
        <w:t>Списък на подписалите</w:t>
      </w:r>
    </w:p>
    <w:p w14:paraId="6445B9C6" w14:textId="77777777" w:rsidR="00DB3BD1" w:rsidRPr="0059792B" w:rsidRDefault="00DB3BD1">
      <w:pPr>
        <w:spacing w:before="0" w:after="0"/>
        <w:jc w:val="left"/>
        <w:rPr>
          <w:rFonts w:ascii="EC Square Sans Pro" w:hAnsi="EC Square Sans Pro" w:cstheme="minorHAnsi"/>
          <w:b/>
          <w:sz w:val="28"/>
          <w:szCs w:val="28"/>
        </w:rPr>
      </w:pPr>
      <w:r>
        <w:br w:type="page"/>
      </w:r>
    </w:p>
    <w:p w14:paraId="54C3BA72" w14:textId="04392F2A" w:rsidR="0092105C" w:rsidRPr="0059792B" w:rsidRDefault="00DF26D8" w:rsidP="00610108">
      <w:pPr>
        <w:pStyle w:val="Text1"/>
        <w:spacing w:before="120" w:after="0" w:line="276" w:lineRule="auto"/>
        <w:ind w:left="0"/>
        <w:rPr>
          <w:rFonts w:ascii="EC Square Sans Pro" w:hAnsi="EC Square Sans Pro" w:cstheme="minorHAnsi"/>
          <w:b/>
          <w:sz w:val="28"/>
          <w:szCs w:val="28"/>
        </w:rPr>
      </w:pPr>
      <w:r>
        <w:rPr>
          <w:rFonts w:ascii="EC Square Sans Pro" w:hAnsi="EC Square Sans Pro"/>
          <w:b/>
          <w:sz w:val="28"/>
          <w:szCs w:val="28"/>
        </w:rPr>
        <w:lastRenderedPageBreak/>
        <w:t>ИЗГРАЖДАНЕ НА КОНКРЕТНИ АНГАЖИМЕНТИ</w:t>
      </w:r>
    </w:p>
    <w:p w14:paraId="17DC1260" w14:textId="7BD0DBF0" w:rsidR="00E31B0F" w:rsidRPr="0059792B" w:rsidRDefault="00E31B0F"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В допълнение към спазването и отстояването на основните принципи, страните, подписали Пакта за умения, се насърчават настоятелно да предложат конкретни ангажименти за осъществяване на действия за повишаване на квалификацията или за преквалифициране, като по този начин приведат в действие основните принципи на Пакта. Това може да се направи по различни начини в зависимост от контекста, промишлената екосистема и вида на участващите организации, били те отделни дружества или други организации, или партньорствата. </w:t>
      </w:r>
    </w:p>
    <w:p w14:paraId="217CB6CB" w14:textId="5CE8453F" w:rsidR="0092105C" w:rsidRPr="0059792B" w:rsidRDefault="00E31B0F"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Посочените по-долу примери съставляват неизчерпателен списък на способстващи фактори, които могат да подпомогнат разработването на конкретни ангажименти. Когато предлагат ангажимент с конкретни действия за повишаване на квалификацията и за преквалифициране, организациите или партньорствата следва да изберат съответните способстващи фактори и да ги адаптират и интегрират по подходящ начин, за да съответстват на съдържанието на техния ангажимент. Те следва също така да посочват поне един ключов показател за изпълнението, например броя на хората, участващи в действия за повишаване на квалификацията или за преквалифициране, с цел да се наблюдава изпълнението на ангажимента.</w:t>
      </w:r>
    </w:p>
    <w:p w14:paraId="56EAC29A" w14:textId="35C9ECAA" w:rsidR="00A46659"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Насърчаване на култура на учене през целия живот за всички</w:t>
      </w:r>
    </w:p>
    <w:p w14:paraId="746FAEF9" w14:textId="45F1129F" w:rsidR="00610108" w:rsidRPr="0059792B" w:rsidRDefault="00112082"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Организацията поддържа уменията на хората, които работят в нея, като изключително важни за нейния успех. </w:t>
      </w:r>
    </w:p>
    <w:p w14:paraId="7B988AD8" w14:textId="555ED8A7" w:rsidR="00610108" w:rsidRPr="0059792B" w:rsidRDefault="00D156BA"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Работодателите и работниците са осведомени за стойността и ползите от повишаването на квалификацията и преквалифицирането и са мотивирани да подобряват постоянно своите знания и умения.</w:t>
      </w:r>
    </w:p>
    <w:p w14:paraId="26136FE4" w14:textId="0CE1D3FE" w:rsidR="00610108" w:rsidRPr="00166486" w:rsidRDefault="00610108" w:rsidP="00AB28CC">
      <w:pPr>
        <w:pStyle w:val="Text1"/>
        <w:numPr>
          <w:ilvl w:val="0"/>
          <w:numId w:val="3"/>
        </w:numPr>
        <w:spacing w:before="120" w:after="0" w:line="276" w:lineRule="auto"/>
        <w:ind w:right="113"/>
        <w:rPr>
          <w:rFonts w:ascii="EC Square Sans Pro" w:hAnsi="EC Square Sans Pro" w:cstheme="minorHAnsi"/>
          <w:spacing w:val="-6"/>
          <w:sz w:val="22"/>
          <w:szCs w:val="22"/>
        </w:rPr>
      </w:pPr>
      <w:bookmarkStart w:id="0" w:name="_GoBack"/>
      <w:r w:rsidRPr="00166486">
        <w:rPr>
          <w:rFonts w:ascii="EC Square Sans Pro" w:hAnsi="EC Square Sans Pro"/>
          <w:spacing w:val="-6"/>
          <w:sz w:val="22"/>
          <w:szCs w:val="22"/>
        </w:rPr>
        <w:t xml:space="preserve">Действието се разработва за и със работниците и се подкрепя от всички управленски равнища. </w:t>
      </w:r>
    </w:p>
    <w:bookmarkEnd w:id="0"/>
    <w:p w14:paraId="48002E22" w14:textId="1953C653" w:rsidR="000E1A31" w:rsidRPr="0059792B" w:rsidRDefault="00112082"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Предлагат се насоки и подкрепа за кариерно развитие.</w:t>
      </w:r>
    </w:p>
    <w:p w14:paraId="52B83533" w14:textId="2989E060" w:rsidR="00610108" w:rsidRPr="0059792B" w:rsidRDefault="007669A6"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Използват се подходящи финансови ресурси.</w:t>
      </w:r>
    </w:p>
    <w:p w14:paraId="7FDDC847" w14:textId="7FFE5876" w:rsidR="00610108" w:rsidRPr="0059792B" w:rsidRDefault="006E34FF" w:rsidP="00AB28CC">
      <w:pPr>
        <w:pStyle w:val="Text1"/>
        <w:numPr>
          <w:ilvl w:val="0"/>
          <w:numId w:val="3"/>
        </w:numPr>
        <w:tabs>
          <w:tab w:val="left" w:pos="675"/>
        </w:tabs>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Извършва се редовен мониторинг и оценка на качеството. </w:t>
      </w:r>
    </w:p>
    <w:p w14:paraId="7A595B6D" w14:textId="16929381" w:rsidR="00610108" w:rsidRPr="0059792B" w:rsidRDefault="0022195C" w:rsidP="00AB28CC">
      <w:pPr>
        <w:pStyle w:val="Text1"/>
        <w:numPr>
          <w:ilvl w:val="0"/>
          <w:numId w:val="3"/>
        </w:numPr>
        <w:tabs>
          <w:tab w:val="left" w:pos="675"/>
        </w:tabs>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Обръща се специално внимание на повишаването на квалификацията и преквалифицирането на групите в неравностойно положение, включително по-възрастните работници и възрастните, които нямат достатъчни основни умения.</w:t>
      </w:r>
    </w:p>
    <w:p w14:paraId="09148CF1" w14:textId="4EEB302E" w:rsidR="00610108" w:rsidRPr="0059792B" w:rsidRDefault="006E34FF"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Ръководството и персоналът получават подкрепа за учене и преодоляване на пречки като липсата на време, средства или информация относно възможностите за повишаване на квалификацията или за преквалифициране.</w:t>
      </w:r>
    </w:p>
    <w:p w14:paraId="2025A884" w14:textId="591C1DE3" w:rsidR="00E44623" w:rsidRPr="0059792B" w:rsidRDefault="00E44623"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Дружествата имат достъп до финансови и нефинансови стимули, за да осигуряват повишаване на квалификацията и преквалифициране на работодателите и служителите.</w:t>
      </w:r>
    </w:p>
    <w:p w14:paraId="0E1D140B" w14:textId="116877C0" w:rsidR="00E44623" w:rsidRPr="0059792B" w:rsidRDefault="00E44623" w:rsidP="00283AE0">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Микро-, малките или средните предприятия разполагат със специална подкрепа (напр. инструменти, услуги и финансиране), за да създадат и поддържат култура на учене в организацията както за ръководството, така и за персонала.</w:t>
      </w:r>
    </w:p>
    <w:p w14:paraId="357F5E3E" w14:textId="48A81CB8" w:rsidR="00610108" w:rsidRPr="0059792B" w:rsidRDefault="00610108"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b/>
          <w:sz w:val="22"/>
          <w:szCs w:val="22"/>
        </w:rPr>
        <w:t xml:space="preserve">Изграждане на силни партньорства за умения </w:t>
      </w:r>
    </w:p>
    <w:p w14:paraId="6FEB8D09" w14:textId="522BA2D1" w:rsidR="00610108" w:rsidRPr="0059792B" w:rsidRDefault="00E44623"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 xml:space="preserve">Участват широк кръг от заинтересовани страни, по-специално социални партньори, доставчици на обучение, публични органи, изследователи, публични или частни служби по заетостта, търговски камари и други посреднически органи, както и секторни организации. </w:t>
      </w:r>
    </w:p>
    <w:p w14:paraId="3A8E8091" w14:textId="70390678" w:rsidR="00610108" w:rsidRDefault="00FA5FFC"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lastRenderedPageBreak/>
        <w:t xml:space="preserve">Партньорството в една промишлена екосистема е отворено за всички заинтересовани страни, за да се обединят експертен опит и ресурси за конкретни действия, които ще позволят на хората да запазят своята работа, да сменят работното си място или да намерят нова работа. </w:t>
      </w:r>
    </w:p>
    <w:p w14:paraId="56BA1EC8" w14:textId="06FE7D02" w:rsidR="004C3338" w:rsidRPr="0059792B" w:rsidRDefault="004C3338" w:rsidP="004C3338">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Партньорството си сътрудничи на европейско, национално, регионално или местно равнище, според случая.</w:t>
      </w:r>
    </w:p>
    <w:p w14:paraId="07E6FC8B" w14:textId="2FA4354C" w:rsidR="00610108" w:rsidRPr="0059792B" w:rsidRDefault="00347462"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Подкрепя се </w:t>
      </w:r>
      <w:proofErr w:type="spellStart"/>
      <w:r>
        <w:rPr>
          <w:rFonts w:ascii="EC Square Sans Pro" w:hAnsi="EC Square Sans Pro"/>
          <w:sz w:val="22"/>
          <w:szCs w:val="22"/>
        </w:rPr>
        <w:t>междусекторното</w:t>
      </w:r>
      <w:proofErr w:type="spellEnd"/>
      <w:r>
        <w:rPr>
          <w:rFonts w:ascii="EC Square Sans Pro" w:hAnsi="EC Square Sans Pro"/>
          <w:sz w:val="22"/>
          <w:szCs w:val="22"/>
        </w:rPr>
        <w:t xml:space="preserve"> сътрудничество между съответните партньорства в секторите/промишлените екосистеми.</w:t>
      </w:r>
    </w:p>
    <w:p w14:paraId="2EE0BF81" w14:textId="00A529FF" w:rsidR="00610108" w:rsidRPr="0059792B" w:rsidRDefault="001130DA"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Гарантират се споделена отговорност и проактивна роля на всеки партньор.</w:t>
      </w:r>
    </w:p>
    <w:p w14:paraId="0D9D7987" w14:textId="5B48DE9F" w:rsidR="000E1A31" w:rsidRPr="0059792B" w:rsidRDefault="006E34FF"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Членовете на партньорството провеждат открит диалог и споделят и обменят знания, за да гарантират високо качество на предлаганите обучения, включително качество на учителите/</w:t>
      </w:r>
      <w:proofErr w:type="spellStart"/>
      <w:r>
        <w:rPr>
          <w:rFonts w:ascii="EC Square Sans Pro" w:hAnsi="EC Square Sans Pro"/>
          <w:sz w:val="22"/>
          <w:szCs w:val="22"/>
        </w:rPr>
        <w:t>обучителите</w:t>
      </w:r>
      <w:proofErr w:type="spellEnd"/>
      <w:r>
        <w:rPr>
          <w:rFonts w:ascii="EC Square Sans Pro" w:hAnsi="EC Square Sans Pro"/>
          <w:sz w:val="22"/>
          <w:szCs w:val="22"/>
        </w:rPr>
        <w:t xml:space="preserve"> и на програмите за обучение. </w:t>
      </w:r>
    </w:p>
    <w:p w14:paraId="7F1F814A" w14:textId="057A3E7B" w:rsidR="00610108" w:rsidRPr="0059792B" w:rsidRDefault="001130DA"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Партньорството основава действията си на изпитани инструменти, но също така разработва иновативни решения.</w:t>
      </w:r>
    </w:p>
    <w:p w14:paraId="4FEABA9A" w14:textId="39716BD0" w:rsidR="00610108"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Наблюдение на предлагането/търсенето на умения и прогнозиране на нуждите от умения</w:t>
      </w:r>
    </w:p>
    <w:p w14:paraId="2CE160BB" w14:textId="77777777" w:rsidR="00610108" w:rsidRPr="0059792B" w:rsidRDefault="00610108"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Търсенето и предлагането на умения (свързани с работата и </w:t>
      </w:r>
      <w:proofErr w:type="spellStart"/>
      <w:r>
        <w:rPr>
          <w:rFonts w:ascii="EC Square Sans Pro" w:hAnsi="EC Square Sans Pro"/>
          <w:sz w:val="22"/>
          <w:szCs w:val="22"/>
        </w:rPr>
        <w:t>трансверсални</w:t>
      </w:r>
      <w:proofErr w:type="spellEnd"/>
      <w:r>
        <w:rPr>
          <w:rFonts w:ascii="EC Square Sans Pro" w:hAnsi="EC Square Sans Pro"/>
          <w:sz w:val="22"/>
          <w:szCs w:val="22"/>
        </w:rPr>
        <w:t xml:space="preserve">) се наблюдават редовно, а хората се информират ясно относно нуждите от умения. </w:t>
      </w:r>
    </w:p>
    <w:p w14:paraId="580B7F3C" w14:textId="77777777" w:rsidR="003B6302" w:rsidRPr="0059792B" w:rsidRDefault="00610108"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Прогнозирането на умения отчита необходимостта от подкрепа за цифровия и екологичния преход и последиците от демографските промени. </w:t>
      </w:r>
    </w:p>
    <w:p w14:paraId="5D48B295" w14:textId="702FE981" w:rsidR="00610108" w:rsidRPr="0059792B" w:rsidRDefault="003B6302"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Наблюдението на търсенето и предлагането на умения разглежда нуждите от умения на работната сила и предприятията на регионално, национално и европейско равнище.</w:t>
      </w:r>
    </w:p>
    <w:p w14:paraId="12C1E9BC" w14:textId="77777777" w:rsidR="004C3338" w:rsidRPr="004C3338" w:rsidRDefault="00610108" w:rsidP="004C3338">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Прогнозирането на умения отчита бързите промени на пазара на труда и предоставя подходяща и навременна информация за нуждите от умения.</w:t>
      </w:r>
      <w:r>
        <w:t xml:space="preserve"> </w:t>
      </w:r>
    </w:p>
    <w:p w14:paraId="48F7F75D" w14:textId="2DE9C724" w:rsidR="00610108" w:rsidRPr="0059792B" w:rsidRDefault="004C3338" w:rsidP="004C3338">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Прогнозирането на умения отчита развитията на регионално, национално и европейско равнище.</w:t>
      </w:r>
    </w:p>
    <w:p w14:paraId="6BD98093" w14:textId="791DEDA0" w:rsidR="00610108" w:rsidRPr="0059792B" w:rsidRDefault="001130DA"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Механизмът за наблюдение включва не само нуждите от свързани с работата умения, но и нуждите от </w:t>
      </w:r>
      <w:proofErr w:type="spellStart"/>
      <w:r>
        <w:rPr>
          <w:rFonts w:ascii="EC Square Sans Pro" w:hAnsi="EC Square Sans Pro"/>
          <w:sz w:val="22"/>
          <w:szCs w:val="22"/>
        </w:rPr>
        <w:t>трансверсални</w:t>
      </w:r>
      <w:proofErr w:type="spellEnd"/>
      <w:r>
        <w:rPr>
          <w:rFonts w:ascii="EC Square Sans Pro" w:hAnsi="EC Square Sans Pro"/>
          <w:sz w:val="22"/>
          <w:szCs w:val="22"/>
        </w:rPr>
        <w:t xml:space="preserve"> и основни умения.</w:t>
      </w:r>
    </w:p>
    <w:p w14:paraId="4F41DDA8" w14:textId="0C320565" w:rsidR="00610108" w:rsidRPr="0059792B" w:rsidRDefault="001130DA" w:rsidP="00AB28CC">
      <w:pPr>
        <w:pStyle w:val="Text1"/>
        <w:numPr>
          <w:ilvl w:val="0"/>
          <w:numId w:val="5"/>
        </w:numPr>
        <w:spacing w:before="120" w:after="0" w:line="276" w:lineRule="auto"/>
        <w:rPr>
          <w:rFonts w:ascii="EC Square Sans Pro" w:hAnsi="EC Square Sans Pro" w:cstheme="minorHAnsi"/>
          <w:sz w:val="22"/>
          <w:szCs w:val="22"/>
        </w:rPr>
      </w:pPr>
      <w:r>
        <w:rPr>
          <w:rFonts w:ascii="EC Square Sans Pro" w:hAnsi="EC Square Sans Pro"/>
          <w:sz w:val="22"/>
          <w:szCs w:val="22"/>
        </w:rPr>
        <w:t>Действието се основава на установените нужди, както от свързани с работата умения, така и от социални компетентности.</w:t>
      </w:r>
    </w:p>
    <w:p w14:paraId="7254DFFF" w14:textId="33F6C60D" w:rsidR="00610108"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Работа срещу дискриминацията, за равенство между половете и за равни възможности</w:t>
      </w:r>
    </w:p>
    <w:p w14:paraId="6D6DA112" w14:textId="087FAF3C" w:rsidR="002F22E0" w:rsidRPr="0059792B" w:rsidRDefault="001130DA" w:rsidP="002F22E0">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Чрез действието активно се насърчават равните възможности, независимо от пол, раса или етнически произход, религия или убеждения, увреждане, възраст или сексуална ориентация;</w:t>
      </w:r>
    </w:p>
    <w:p w14:paraId="56139681" w14:textId="559C82C7" w:rsidR="00610108" w:rsidRPr="0059792B" w:rsidRDefault="00774040" w:rsidP="00774040">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Действието осигурява достъп до висококачествени възможности за повишаване на квалификацията/преквалифициране за всички от целевата група, независимо от пол, раса </w:t>
      </w:r>
      <w:r>
        <w:rPr>
          <w:rFonts w:ascii="EC Square Sans Pro" w:hAnsi="EC Square Sans Pro"/>
          <w:sz w:val="22"/>
          <w:szCs w:val="22"/>
        </w:rPr>
        <w:lastRenderedPageBreak/>
        <w:t>или етнически произход, религия или убеждения, увреждания, възраст</w:t>
      </w:r>
      <w:r>
        <w:rPr>
          <w:rStyle w:val="FootnoteReference"/>
          <w:rFonts w:ascii="EC Square Sans Pro" w:hAnsi="EC Square Sans Pro" w:cstheme="minorHAnsi"/>
          <w:sz w:val="22"/>
          <w:szCs w:val="22"/>
        </w:rPr>
        <w:footnoteReference w:id="3"/>
      </w:r>
      <w:r>
        <w:rPr>
          <w:rFonts w:ascii="EC Square Sans Pro" w:hAnsi="EC Square Sans Pro"/>
          <w:sz w:val="22"/>
          <w:szCs w:val="22"/>
        </w:rPr>
        <w:t xml:space="preserve"> или сексуална ориентация. </w:t>
      </w:r>
    </w:p>
    <w:p w14:paraId="4881B9BD" w14:textId="7DD69CD0" w:rsidR="00610108" w:rsidRPr="0059792B" w:rsidRDefault="00774040" w:rsidP="00AB28CC">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Действието включва валидиране и признаване на придобитите умения (включително </w:t>
      </w:r>
      <w:proofErr w:type="spellStart"/>
      <w:r>
        <w:rPr>
          <w:rFonts w:ascii="EC Square Sans Pro" w:hAnsi="EC Square Sans Pro"/>
          <w:sz w:val="22"/>
          <w:szCs w:val="22"/>
        </w:rPr>
        <w:t>микроквалификация</w:t>
      </w:r>
      <w:proofErr w:type="spellEnd"/>
      <w:r>
        <w:rPr>
          <w:rFonts w:ascii="EC Square Sans Pro" w:hAnsi="EC Square Sans Pro"/>
          <w:sz w:val="22"/>
          <w:szCs w:val="22"/>
        </w:rPr>
        <w:t>).</w:t>
      </w:r>
    </w:p>
    <w:p w14:paraId="524E032D" w14:textId="5CAB99B1" w:rsidR="00610108" w:rsidRPr="0059792B" w:rsidRDefault="00610108" w:rsidP="00AB28CC">
      <w:pPr>
        <w:pStyle w:val="Text1"/>
        <w:numPr>
          <w:ilvl w:val="0"/>
          <w:numId w:val="7"/>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Вземат се предвид нуждите и капацитетът на отделните лица, включително техните лични и професионални нужди (например промяна в кариерата в средата на живота);</w:t>
      </w:r>
    </w:p>
    <w:p w14:paraId="2B2F0D54" w14:textId="615E20AE" w:rsidR="00E35952" w:rsidRPr="000D72F3" w:rsidRDefault="006E34FF" w:rsidP="004D0D31">
      <w:pPr>
        <w:pStyle w:val="Text1"/>
        <w:numPr>
          <w:ilvl w:val="0"/>
          <w:numId w:val="7"/>
        </w:numPr>
        <w:spacing w:after="0" w:line="276" w:lineRule="auto"/>
        <w:ind w:right="113"/>
        <w:jc w:val="left"/>
        <w:rPr>
          <w:rFonts w:ascii="EC Square Sans Pro" w:hAnsi="EC Square Sans Pro" w:cstheme="minorHAnsi"/>
          <w:sz w:val="22"/>
          <w:szCs w:val="22"/>
        </w:rPr>
      </w:pPr>
      <w:r>
        <w:rPr>
          <w:rFonts w:ascii="EC Square Sans Pro" w:hAnsi="EC Square Sans Pro"/>
          <w:sz w:val="22"/>
          <w:szCs w:val="22"/>
        </w:rPr>
        <w:t xml:space="preserve">Действието е гъвкаво, модулно и, когато е възможно, се предоставя чрез инструменти (включително цифрови инструменти), които осигуряват достъп до учене за всички хора в трудоспособна възраст. </w:t>
      </w:r>
    </w:p>
    <w:sectPr w:rsidR="00E35952" w:rsidRPr="000D72F3" w:rsidSect="00AB28CC">
      <w:pgSz w:w="11906" w:h="16838"/>
      <w:pgMar w:top="117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4F47C" w14:textId="77777777" w:rsidR="00432AD9" w:rsidRDefault="00432AD9" w:rsidP="008151F7">
      <w:pPr>
        <w:spacing w:before="0" w:after="0"/>
      </w:pPr>
      <w:r>
        <w:separator/>
      </w:r>
    </w:p>
  </w:endnote>
  <w:endnote w:type="continuationSeparator" w:id="0">
    <w:p w14:paraId="74EFB546" w14:textId="77777777" w:rsidR="00432AD9" w:rsidRDefault="00432AD9" w:rsidP="008151F7">
      <w:pPr>
        <w:spacing w:before="0" w:after="0"/>
      </w:pPr>
      <w:r>
        <w:continuationSeparator/>
      </w:r>
    </w:p>
  </w:endnote>
  <w:endnote w:type="continuationNotice" w:id="1">
    <w:p w14:paraId="403A5F65" w14:textId="77777777" w:rsidR="00432AD9" w:rsidRDefault="00432AD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 Square Sans Pro">
    <w:panose1 w:val="020B0506040000020004"/>
    <w:charset w:val="00"/>
    <w:family w:val="swiss"/>
    <w:pitch w:val="variable"/>
    <w:sig w:usb0="A00002BF" w:usb1="5000E0F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2BB2B" w14:textId="77777777" w:rsidR="00432AD9" w:rsidRDefault="00432AD9" w:rsidP="008151F7">
      <w:pPr>
        <w:spacing w:before="0" w:after="0"/>
      </w:pPr>
      <w:r>
        <w:separator/>
      </w:r>
    </w:p>
  </w:footnote>
  <w:footnote w:type="continuationSeparator" w:id="0">
    <w:p w14:paraId="1A652DF5" w14:textId="77777777" w:rsidR="00432AD9" w:rsidRDefault="00432AD9" w:rsidP="008151F7">
      <w:pPr>
        <w:spacing w:before="0" w:after="0"/>
      </w:pPr>
      <w:r>
        <w:continuationSeparator/>
      </w:r>
    </w:p>
  </w:footnote>
  <w:footnote w:type="continuationNotice" w:id="1">
    <w:p w14:paraId="54DEE4A9" w14:textId="77777777" w:rsidR="00432AD9" w:rsidRDefault="00432AD9">
      <w:pPr>
        <w:spacing w:before="0" w:after="0"/>
      </w:pPr>
    </w:p>
  </w:footnote>
  <w:footnote w:id="2">
    <w:p w14:paraId="6C35FB22" w14:textId="77777777" w:rsidR="000D72F3" w:rsidRDefault="000D72F3" w:rsidP="000D72F3">
      <w:pPr>
        <w:pStyle w:val="FootnoteText"/>
      </w:pPr>
      <w:r>
        <w:rPr>
          <w:rStyle w:val="FootnoteReference"/>
        </w:rPr>
        <w:footnoteRef/>
      </w:r>
      <w:r>
        <w:tab/>
        <w:t xml:space="preserve">Като например Европейския социален фонд плюс, REACT_EU, Фонда за справедлив преход, програмите „Еразъм +“, „Хоризонт Европа“, „Цифрова Европа“, Европейския фонд за регионално развитие, </w:t>
      </w:r>
      <w:proofErr w:type="spellStart"/>
      <w:r>
        <w:t>InvestEU</w:t>
      </w:r>
      <w:proofErr w:type="spellEnd"/>
      <w:r>
        <w:t xml:space="preserve"> и </w:t>
      </w:r>
      <w:proofErr w:type="spellStart"/>
      <w:r>
        <w:t>Модернизационния</w:t>
      </w:r>
      <w:proofErr w:type="spellEnd"/>
      <w:r>
        <w:t xml:space="preserve"> фонд.</w:t>
      </w:r>
    </w:p>
  </w:footnote>
  <w:footnote w:id="3">
    <w:p w14:paraId="0A32517E" w14:textId="16C3F6B3" w:rsidR="00774040" w:rsidRDefault="00774040">
      <w:pPr>
        <w:pStyle w:val="FootnoteText"/>
      </w:pPr>
      <w:r>
        <w:rPr>
          <w:rStyle w:val="FootnoteReference"/>
        </w:rPr>
        <w:footnoteRef/>
      </w:r>
      <w:r>
        <w:tab/>
      </w:r>
      <w:r>
        <w:t>Освен ако това не е оправдано от естеството на действието, например инициативи за повишаване на квалификацията и за преквалифициране, насочени към по-възрастни работници или по-млади кадри.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A77DD"/>
    <w:multiLevelType w:val="hybridMultilevel"/>
    <w:tmpl w:val="4742012A"/>
    <w:lvl w:ilvl="0" w:tplc="EC5E95C0">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996626"/>
    <w:multiLevelType w:val="hybridMultilevel"/>
    <w:tmpl w:val="167E1E8A"/>
    <w:lvl w:ilvl="0" w:tplc="1F961EDC">
      <w:start w:val="1"/>
      <w:numFmt w:val="bullet"/>
      <w:pStyle w:val="Briefinglist1"/>
      <w:lvlText w:val=""/>
      <w:lvlJc w:val="left"/>
      <w:pPr>
        <w:tabs>
          <w:tab w:val="num" w:pos="284"/>
        </w:tabs>
        <w:ind w:left="284" w:hanging="284"/>
      </w:pPr>
      <w:rPr>
        <w:rFonts w:ascii="Symbol" w:hAnsi="Symbol" w:hint="default"/>
        <w:b w:val="0"/>
        <w:i w:val="0"/>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4B4886"/>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4AEF05B4"/>
    <w:multiLevelType w:val="hybridMultilevel"/>
    <w:tmpl w:val="140203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34B1C3E"/>
    <w:multiLevelType w:val="hybridMultilevel"/>
    <w:tmpl w:val="40EC12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6BA5583"/>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57577808"/>
    <w:multiLevelType w:val="hybridMultilevel"/>
    <w:tmpl w:val="24042BC8"/>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59FE208B"/>
    <w:multiLevelType w:val="hybridMultilevel"/>
    <w:tmpl w:val="746021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5FD6255"/>
    <w:multiLevelType w:val="hybridMultilevel"/>
    <w:tmpl w:val="25C67D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69E6A34"/>
    <w:multiLevelType w:val="hybridMultilevel"/>
    <w:tmpl w:val="0FE62C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A804B99"/>
    <w:multiLevelType w:val="hybridMultilevel"/>
    <w:tmpl w:val="E1E818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7"/>
  </w:num>
  <w:num w:numId="4">
    <w:abstractNumId w:val="10"/>
  </w:num>
  <w:num w:numId="5">
    <w:abstractNumId w:val="4"/>
  </w:num>
  <w:num w:numId="6">
    <w:abstractNumId w:val="8"/>
  </w:num>
  <w:num w:numId="7">
    <w:abstractNumId w:val="3"/>
  </w:num>
  <w:num w:numId="8">
    <w:abstractNumId w:val="9"/>
  </w:num>
  <w:num w:numId="9">
    <w:abstractNumId w:val="5"/>
  </w:num>
  <w:num w:numId="10">
    <w:abstractNumId w:val="6"/>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efaultTabStop w:val="720"/>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57776"/>
    <w:rsid w:val="000033D7"/>
    <w:rsid w:val="00007FB5"/>
    <w:rsid w:val="00023C08"/>
    <w:rsid w:val="000274D4"/>
    <w:rsid w:val="00027B3B"/>
    <w:rsid w:val="00040F32"/>
    <w:rsid w:val="0004352D"/>
    <w:rsid w:val="0004437D"/>
    <w:rsid w:val="000473C9"/>
    <w:rsid w:val="0005456A"/>
    <w:rsid w:val="00060684"/>
    <w:rsid w:val="00062C8E"/>
    <w:rsid w:val="00063F5F"/>
    <w:rsid w:val="000763D4"/>
    <w:rsid w:val="000857C1"/>
    <w:rsid w:val="00087BF8"/>
    <w:rsid w:val="000952B0"/>
    <w:rsid w:val="000A1A8B"/>
    <w:rsid w:val="000A75C4"/>
    <w:rsid w:val="000B18D4"/>
    <w:rsid w:val="000D09E9"/>
    <w:rsid w:val="000D68D8"/>
    <w:rsid w:val="000D72F3"/>
    <w:rsid w:val="000E0FCB"/>
    <w:rsid w:val="000E1A31"/>
    <w:rsid w:val="000E1DB8"/>
    <w:rsid w:val="000E2D77"/>
    <w:rsid w:val="000F18F3"/>
    <w:rsid w:val="000F3B2B"/>
    <w:rsid w:val="00112082"/>
    <w:rsid w:val="00112F24"/>
    <w:rsid w:val="001130DA"/>
    <w:rsid w:val="00115FFB"/>
    <w:rsid w:val="00116DDA"/>
    <w:rsid w:val="00131F33"/>
    <w:rsid w:val="00156F14"/>
    <w:rsid w:val="00163B50"/>
    <w:rsid w:val="00166486"/>
    <w:rsid w:val="00180C0F"/>
    <w:rsid w:val="00191750"/>
    <w:rsid w:val="001922B3"/>
    <w:rsid w:val="00194587"/>
    <w:rsid w:val="001A1133"/>
    <w:rsid w:val="001A4389"/>
    <w:rsid w:val="001B2F8D"/>
    <w:rsid w:val="001C036B"/>
    <w:rsid w:val="001C4D40"/>
    <w:rsid w:val="001D6ADA"/>
    <w:rsid w:val="001F41D5"/>
    <w:rsid w:val="001F7AB2"/>
    <w:rsid w:val="001F7F7B"/>
    <w:rsid w:val="00213C3B"/>
    <w:rsid w:val="0022195C"/>
    <w:rsid w:val="00222253"/>
    <w:rsid w:val="00222FF3"/>
    <w:rsid w:val="0022676B"/>
    <w:rsid w:val="00251D05"/>
    <w:rsid w:val="00253E8A"/>
    <w:rsid w:val="00254831"/>
    <w:rsid w:val="002561F6"/>
    <w:rsid w:val="0026216D"/>
    <w:rsid w:val="002874E2"/>
    <w:rsid w:val="0029201E"/>
    <w:rsid w:val="00296BEC"/>
    <w:rsid w:val="002B1B65"/>
    <w:rsid w:val="002B30D0"/>
    <w:rsid w:val="002C0B75"/>
    <w:rsid w:val="002C0E3D"/>
    <w:rsid w:val="002D44A1"/>
    <w:rsid w:val="002D7E0A"/>
    <w:rsid w:val="002E3766"/>
    <w:rsid w:val="002F22E0"/>
    <w:rsid w:val="002F5765"/>
    <w:rsid w:val="002F59A6"/>
    <w:rsid w:val="002F62A9"/>
    <w:rsid w:val="00300D6E"/>
    <w:rsid w:val="0030106C"/>
    <w:rsid w:val="00311133"/>
    <w:rsid w:val="0031193D"/>
    <w:rsid w:val="00315699"/>
    <w:rsid w:val="00320201"/>
    <w:rsid w:val="00335AC1"/>
    <w:rsid w:val="0034151C"/>
    <w:rsid w:val="00345743"/>
    <w:rsid w:val="00347462"/>
    <w:rsid w:val="00353ECF"/>
    <w:rsid w:val="00364B47"/>
    <w:rsid w:val="00367EFF"/>
    <w:rsid w:val="003735E1"/>
    <w:rsid w:val="00380943"/>
    <w:rsid w:val="003821AC"/>
    <w:rsid w:val="00384C5A"/>
    <w:rsid w:val="003A2765"/>
    <w:rsid w:val="003B6302"/>
    <w:rsid w:val="003C5B80"/>
    <w:rsid w:val="003C615C"/>
    <w:rsid w:val="003D118D"/>
    <w:rsid w:val="003E7102"/>
    <w:rsid w:val="00401C59"/>
    <w:rsid w:val="00405D2E"/>
    <w:rsid w:val="00410BEA"/>
    <w:rsid w:val="0041405F"/>
    <w:rsid w:val="004147D1"/>
    <w:rsid w:val="0041685D"/>
    <w:rsid w:val="004200A3"/>
    <w:rsid w:val="00431450"/>
    <w:rsid w:val="00432AD9"/>
    <w:rsid w:val="00435D0E"/>
    <w:rsid w:val="004400B6"/>
    <w:rsid w:val="0044137E"/>
    <w:rsid w:val="0044151D"/>
    <w:rsid w:val="00442867"/>
    <w:rsid w:val="004507B6"/>
    <w:rsid w:val="004516BE"/>
    <w:rsid w:val="00452B2D"/>
    <w:rsid w:val="0045316E"/>
    <w:rsid w:val="00453AE2"/>
    <w:rsid w:val="004722CD"/>
    <w:rsid w:val="00480AFB"/>
    <w:rsid w:val="004840D4"/>
    <w:rsid w:val="00492016"/>
    <w:rsid w:val="004940E0"/>
    <w:rsid w:val="004A6A6A"/>
    <w:rsid w:val="004A770B"/>
    <w:rsid w:val="004B62FB"/>
    <w:rsid w:val="004C3338"/>
    <w:rsid w:val="004C3C69"/>
    <w:rsid w:val="004C3EBA"/>
    <w:rsid w:val="004D6453"/>
    <w:rsid w:val="004D747E"/>
    <w:rsid w:val="004E3DC1"/>
    <w:rsid w:val="005130D4"/>
    <w:rsid w:val="005166DE"/>
    <w:rsid w:val="005265D4"/>
    <w:rsid w:val="00527674"/>
    <w:rsid w:val="00530E88"/>
    <w:rsid w:val="005340F3"/>
    <w:rsid w:val="005406FC"/>
    <w:rsid w:val="00561EB9"/>
    <w:rsid w:val="00567128"/>
    <w:rsid w:val="00573A43"/>
    <w:rsid w:val="00575C55"/>
    <w:rsid w:val="00587CA5"/>
    <w:rsid w:val="0059410E"/>
    <w:rsid w:val="0059792B"/>
    <w:rsid w:val="005A7ABD"/>
    <w:rsid w:val="005B1CF5"/>
    <w:rsid w:val="005B2C0F"/>
    <w:rsid w:val="005C0B5C"/>
    <w:rsid w:val="005C54BD"/>
    <w:rsid w:val="005E0EB0"/>
    <w:rsid w:val="005E352F"/>
    <w:rsid w:val="005E5370"/>
    <w:rsid w:val="005F4E12"/>
    <w:rsid w:val="005F7B24"/>
    <w:rsid w:val="00610108"/>
    <w:rsid w:val="00611233"/>
    <w:rsid w:val="00627192"/>
    <w:rsid w:val="006403DC"/>
    <w:rsid w:val="00644877"/>
    <w:rsid w:val="00645A9A"/>
    <w:rsid w:val="00646783"/>
    <w:rsid w:val="00664479"/>
    <w:rsid w:val="006666A1"/>
    <w:rsid w:val="006675B5"/>
    <w:rsid w:val="006722F2"/>
    <w:rsid w:val="006850F4"/>
    <w:rsid w:val="006908C7"/>
    <w:rsid w:val="00693032"/>
    <w:rsid w:val="00697464"/>
    <w:rsid w:val="006A7739"/>
    <w:rsid w:val="006B4C5B"/>
    <w:rsid w:val="006B7A14"/>
    <w:rsid w:val="006B7F63"/>
    <w:rsid w:val="006D06BF"/>
    <w:rsid w:val="006D0A38"/>
    <w:rsid w:val="006D254B"/>
    <w:rsid w:val="006D6ACF"/>
    <w:rsid w:val="006E34FF"/>
    <w:rsid w:val="006E5364"/>
    <w:rsid w:val="006F2E9C"/>
    <w:rsid w:val="00705011"/>
    <w:rsid w:val="00725460"/>
    <w:rsid w:val="007254B4"/>
    <w:rsid w:val="00732173"/>
    <w:rsid w:val="00743B65"/>
    <w:rsid w:val="007556E8"/>
    <w:rsid w:val="00765582"/>
    <w:rsid w:val="007669A6"/>
    <w:rsid w:val="00772985"/>
    <w:rsid w:val="00774040"/>
    <w:rsid w:val="00780965"/>
    <w:rsid w:val="00790753"/>
    <w:rsid w:val="0079291C"/>
    <w:rsid w:val="007A0E7A"/>
    <w:rsid w:val="007A4757"/>
    <w:rsid w:val="007B0F9A"/>
    <w:rsid w:val="007B21D3"/>
    <w:rsid w:val="007C038B"/>
    <w:rsid w:val="007C2AA1"/>
    <w:rsid w:val="007C3B52"/>
    <w:rsid w:val="007C554F"/>
    <w:rsid w:val="007C7E38"/>
    <w:rsid w:val="007D29F8"/>
    <w:rsid w:val="007D5222"/>
    <w:rsid w:val="007E5159"/>
    <w:rsid w:val="007E7739"/>
    <w:rsid w:val="007E7E08"/>
    <w:rsid w:val="007F64C3"/>
    <w:rsid w:val="0080312A"/>
    <w:rsid w:val="00810ED9"/>
    <w:rsid w:val="00811909"/>
    <w:rsid w:val="00811E26"/>
    <w:rsid w:val="008151F7"/>
    <w:rsid w:val="0082673E"/>
    <w:rsid w:val="00830545"/>
    <w:rsid w:val="00846E20"/>
    <w:rsid w:val="008677AA"/>
    <w:rsid w:val="0087170B"/>
    <w:rsid w:val="00872875"/>
    <w:rsid w:val="00874017"/>
    <w:rsid w:val="008801D0"/>
    <w:rsid w:val="00881253"/>
    <w:rsid w:val="008843F7"/>
    <w:rsid w:val="0089271D"/>
    <w:rsid w:val="008946A8"/>
    <w:rsid w:val="0089644C"/>
    <w:rsid w:val="008A151C"/>
    <w:rsid w:val="008A3F22"/>
    <w:rsid w:val="008A4FF1"/>
    <w:rsid w:val="008B1F79"/>
    <w:rsid w:val="008B4702"/>
    <w:rsid w:val="008B7912"/>
    <w:rsid w:val="008C28D7"/>
    <w:rsid w:val="008C6C2D"/>
    <w:rsid w:val="008C70D4"/>
    <w:rsid w:val="008D687C"/>
    <w:rsid w:val="008E48EE"/>
    <w:rsid w:val="008F6AF0"/>
    <w:rsid w:val="00901D2B"/>
    <w:rsid w:val="009043CC"/>
    <w:rsid w:val="00904E04"/>
    <w:rsid w:val="009160FD"/>
    <w:rsid w:val="0092105C"/>
    <w:rsid w:val="009250C3"/>
    <w:rsid w:val="00926193"/>
    <w:rsid w:val="00937674"/>
    <w:rsid w:val="00940BD0"/>
    <w:rsid w:val="009667EE"/>
    <w:rsid w:val="0097123C"/>
    <w:rsid w:val="00976B5A"/>
    <w:rsid w:val="009846DF"/>
    <w:rsid w:val="0099298F"/>
    <w:rsid w:val="009966B9"/>
    <w:rsid w:val="00996C33"/>
    <w:rsid w:val="009B2D95"/>
    <w:rsid w:val="009B5B3A"/>
    <w:rsid w:val="009D0EA2"/>
    <w:rsid w:val="009E6E62"/>
    <w:rsid w:val="00A1205D"/>
    <w:rsid w:val="00A327CE"/>
    <w:rsid w:val="00A32DEA"/>
    <w:rsid w:val="00A46659"/>
    <w:rsid w:val="00A60F87"/>
    <w:rsid w:val="00A71ACD"/>
    <w:rsid w:val="00A73139"/>
    <w:rsid w:val="00A73999"/>
    <w:rsid w:val="00A75D3E"/>
    <w:rsid w:val="00A77BF8"/>
    <w:rsid w:val="00A900EA"/>
    <w:rsid w:val="00A92A72"/>
    <w:rsid w:val="00A93F33"/>
    <w:rsid w:val="00A94BC4"/>
    <w:rsid w:val="00AA0678"/>
    <w:rsid w:val="00AA2898"/>
    <w:rsid w:val="00AA5897"/>
    <w:rsid w:val="00AB1A7F"/>
    <w:rsid w:val="00AB28CC"/>
    <w:rsid w:val="00AC07D4"/>
    <w:rsid w:val="00AC1BFA"/>
    <w:rsid w:val="00AD2D24"/>
    <w:rsid w:val="00AE5667"/>
    <w:rsid w:val="00AE6569"/>
    <w:rsid w:val="00AF4CA6"/>
    <w:rsid w:val="00AF510D"/>
    <w:rsid w:val="00B10757"/>
    <w:rsid w:val="00B12C9E"/>
    <w:rsid w:val="00B16287"/>
    <w:rsid w:val="00B32B34"/>
    <w:rsid w:val="00B37C91"/>
    <w:rsid w:val="00B40EBF"/>
    <w:rsid w:val="00B41E2C"/>
    <w:rsid w:val="00B53FB5"/>
    <w:rsid w:val="00B5774A"/>
    <w:rsid w:val="00B61126"/>
    <w:rsid w:val="00B6237C"/>
    <w:rsid w:val="00B7391F"/>
    <w:rsid w:val="00B744E9"/>
    <w:rsid w:val="00B827AD"/>
    <w:rsid w:val="00B84917"/>
    <w:rsid w:val="00B86C11"/>
    <w:rsid w:val="00B90CE5"/>
    <w:rsid w:val="00B9361B"/>
    <w:rsid w:val="00B95DE2"/>
    <w:rsid w:val="00B96C47"/>
    <w:rsid w:val="00BA423D"/>
    <w:rsid w:val="00BB2C06"/>
    <w:rsid w:val="00BB334F"/>
    <w:rsid w:val="00BC74EB"/>
    <w:rsid w:val="00BD469A"/>
    <w:rsid w:val="00BD4A78"/>
    <w:rsid w:val="00BE3C2D"/>
    <w:rsid w:val="00BF7233"/>
    <w:rsid w:val="00C0433E"/>
    <w:rsid w:val="00C046C2"/>
    <w:rsid w:val="00C0694D"/>
    <w:rsid w:val="00C10A93"/>
    <w:rsid w:val="00C15301"/>
    <w:rsid w:val="00C15DE8"/>
    <w:rsid w:val="00C27076"/>
    <w:rsid w:val="00C31EAF"/>
    <w:rsid w:val="00C31F14"/>
    <w:rsid w:val="00C34D1A"/>
    <w:rsid w:val="00C36963"/>
    <w:rsid w:val="00C37B91"/>
    <w:rsid w:val="00C51FF1"/>
    <w:rsid w:val="00C56909"/>
    <w:rsid w:val="00C609C3"/>
    <w:rsid w:val="00C60AFC"/>
    <w:rsid w:val="00C6434D"/>
    <w:rsid w:val="00C66D9D"/>
    <w:rsid w:val="00C72C11"/>
    <w:rsid w:val="00C7444E"/>
    <w:rsid w:val="00C77AAC"/>
    <w:rsid w:val="00C82E8D"/>
    <w:rsid w:val="00C874A9"/>
    <w:rsid w:val="00C97D70"/>
    <w:rsid w:val="00CA2080"/>
    <w:rsid w:val="00CA41D7"/>
    <w:rsid w:val="00CA491A"/>
    <w:rsid w:val="00CB6040"/>
    <w:rsid w:val="00CB7B17"/>
    <w:rsid w:val="00CC12A9"/>
    <w:rsid w:val="00CD2130"/>
    <w:rsid w:val="00CD579B"/>
    <w:rsid w:val="00CE2771"/>
    <w:rsid w:val="00CE66A2"/>
    <w:rsid w:val="00CF463A"/>
    <w:rsid w:val="00D060D1"/>
    <w:rsid w:val="00D10F90"/>
    <w:rsid w:val="00D11AA1"/>
    <w:rsid w:val="00D11BB3"/>
    <w:rsid w:val="00D156BA"/>
    <w:rsid w:val="00D57776"/>
    <w:rsid w:val="00D6481C"/>
    <w:rsid w:val="00D7235D"/>
    <w:rsid w:val="00D726B3"/>
    <w:rsid w:val="00D741CC"/>
    <w:rsid w:val="00D81625"/>
    <w:rsid w:val="00D914D6"/>
    <w:rsid w:val="00D919E8"/>
    <w:rsid w:val="00D96529"/>
    <w:rsid w:val="00DA4C92"/>
    <w:rsid w:val="00DB033B"/>
    <w:rsid w:val="00DB3BD1"/>
    <w:rsid w:val="00DB7A78"/>
    <w:rsid w:val="00DC2D7D"/>
    <w:rsid w:val="00DC3802"/>
    <w:rsid w:val="00DD61E3"/>
    <w:rsid w:val="00DE327E"/>
    <w:rsid w:val="00DE4159"/>
    <w:rsid w:val="00DF26D8"/>
    <w:rsid w:val="00DF392E"/>
    <w:rsid w:val="00E05117"/>
    <w:rsid w:val="00E10029"/>
    <w:rsid w:val="00E2010C"/>
    <w:rsid w:val="00E2764D"/>
    <w:rsid w:val="00E31B0F"/>
    <w:rsid w:val="00E35952"/>
    <w:rsid w:val="00E369E2"/>
    <w:rsid w:val="00E41EBB"/>
    <w:rsid w:val="00E44623"/>
    <w:rsid w:val="00E500E7"/>
    <w:rsid w:val="00E60A9D"/>
    <w:rsid w:val="00E93D07"/>
    <w:rsid w:val="00EB263B"/>
    <w:rsid w:val="00EB6776"/>
    <w:rsid w:val="00EC2100"/>
    <w:rsid w:val="00EC7D17"/>
    <w:rsid w:val="00ED4DE2"/>
    <w:rsid w:val="00EE5F25"/>
    <w:rsid w:val="00EE6F4F"/>
    <w:rsid w:val="00EF0610"/>
    <w:rsid w:val="00EF2229"/>
    <w:rsid w:val="00F06012"/>
    <w:rsid w:val="00F17B01"/>
    <w:rsid w:val="00F211A5"/>
    <w:rsid w:val="00F238E6"/>
    <w:rsid w:val="00F2506E"/>
    <w:rsid w:val="00F255FE"/>
    <w:rsid w:val="00F32EAA"/>
    <w:rsid w:val="00F366C7"/>
    <w:rsid w:val="00F43341"/>
    <w:rsid w:val="00F466E2"/>
    <w:rsid w:val="00F568D9"/>
    <w:rsid w:val="00F703E7"/>
    <w:rsid w:val="00FA251D"/>
    <w:rsid w:val="00FA4872"/>
    <w:rsid w:val="00FA5FFC"/>
    <w:rsid w:val="00FB292D"/>
    <w:rsid w:val="00FC433E"/>
    <w:rsid w:val="00FC56B7"/>
    <w:rsid w:val="00FD378C"/>
    <w:rsid w:val="00FD3C71"/>
    <w:rsid w:val="00FD43EC"/>
    <w:rsid w:val="00FD5911"/>
    <w:rsid w:val="00FE2EA6"/>
    <w:rsid w:val="00FE3C75"/>
    <w:rsid w:val="00FE500F"/>
    <w:rsid w:val="00FE77AF"/>
    <w:rsid w:val="00FE799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40E9C9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bg-BG"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1F7"/>
    <w:pPr>
      <w:spacing w:before="60" w:after="120"/>
      <w:jc w:val="both"/>
    </w:pPr>
    <w:rPr>
      <w:rFonts w:ascii="Times New Roman" w:hAnsi="Times New Roman"/>
      <w:sz w:val="24"/>
      <w:szCs w:val="24"/>
      <w:lang w:eastAsia="en-GB"/>
    </w:rPr>
  </w:style>
  <w:style w:type="paragraph" w:styleId="Heading1">
    <w:name w:val="heading 1"/>
    <w:basedOn w:val="Normal"/>
    <w:next w:val="Normal"/>
    <w:link w:val="Heading1Char"/>
    <w:uiPriority w:val="99"/>
    <w:qFormat/>
    <w:rsid w:val="001F7F7B"/>
    <w:pPr>
      <w:keepNext/>
      <w:keepLines/>
      <w:spacing w:before="480" w:after="0"/>
      <w:outlineLvl w:val="0"/>
    </w:pPr>
    <w:rPr>
      <w:rFonts w:ascii="Cambria" w:hAnsi="Cambria"/>
      <w:b/>
      <w:bCs/>
      <w:color w:val="365F91"/>
      <w:sz w:val="32"/>
      <w:szCs w:val="32"/>
      <w:lang w:eastAsia="en-US"/>
    </w:rPr>
  </w:style>
  <w:style w:type="paragraph" w:styleId="Heading2">
    <w:name w:val="heading 2"/>
    <w:basedOn w:val="Normal"/>
    <w:next w:val="Normal"/>
    <w:link w:val="Heading2Char"/>
    <w:uiPriority w:val="99"/>
    <w:qFormat/>
    <w:rsid w:val="001F7F7B"/>
    <w:pPr>
      <w:keepNext/>
      <w:keepLines/>
      <w:spacing w:before="120" w:after="0"/>
      <w:ind w:left="646" w:hanging="504"/>
      <w:outlineLvl w:val="1"/>
    </w:pPr>
    <w:rPr>
      <w:b/>
      <w:bCs/>
    </w:rPr>
  </w:style>
  <w:style w:type="paragraph" w:styleId="Heading3">
    <w:name w:val="heading 3"/>
    <w:basedOn w:val="Normal"/>
    <w:next w:val="Normal"/>
    <w:link w:val="Heading3Char"/>
    <w:uiPriority w:val="99"/>
    <w:qFormat/>
    <w:rsid w:val="001F7F7B"/>
    <w:pPr>
      <w:keepNext/>
      <w:keepLines/>
      <w:spacing w:before="200" w:after="0"/>
      <w:outlineLvl w:val="2"/>
    </w:pPr>
    <w:rPr>
      <w:rFonts w:ascii="Cambria" w:hAnsi="Cambria"/>
      <w:b/>
      <w:bCs/>
      <w:color w:val="4F81BD"/>
      <w:sz w:val="22"/>
      <w:szCs w:val="22"/>
      <w:lang w:eastAsia="en-US"/>
    </w:rPr>
  </w:style>
  <w:style w:type="paragraph" w:styleId="Heading4">
    <w:name w:val="heading 4"/>
    <w:basedOn w:val="Normal"/>
    <w:next w:val="Normal"/>
    <w:link w:val="Heading4Char"/>
    <w:uiPriority w:val="99"/>
    <w:qFormat/>
    <w:rsid w:val="001F7F7B"/>
    <w:pPr>
      <w:keepNext/>
      <w:keepLines/>
      <w:spacing w:before="200" w:after="0"/>
      <w:outlineLvl w:val="3"/>
    </w:pPr>
    <w:rPr>
      <w:rFonts w:ascii="Cambria" w:hAnsi="Cambria"/>
      <w:b/>
      <w:bCs/>
      <w:i/>
      <w:iCs/>
      <w:color w:val="4F81BD"/>
      <w:sz w:val="22"/>
      <w:szCs w:val="22"/>
      <w:lang w:eastAsia="en-US"/>
    </w:rPr>
  </w:style>
  <w:style w:type="paragraph" w:styleId="Heading5">
    <w:name w:val="heading 5"/>
    <w:basedOn w:val="Normal"/>
    <w:next w:val="Normal"/>
    <w:link w:val="Heading5Char"/>
    <w:uiPriority w:val="99"/>
    <w:qFormat/>
    <w:rsid w:val="001F7F7B"/>
    <w:pPr>
      <w:keepNext/>
      <w:keepLines/>
      <w:spacing w:before="200" w:after="0"/>
      <w:outlineLvl w:val="4"/>
    </w:pPr>
    <w:rPr>
      <w:rFonts w:ascii="Cambria" w:hAnsi="Cambria"/>
      <w:color w:val="243F60"/>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urce">
    <w:name w:val="Source"/>
    <w:basedOn w:val="Normal"/>
    <w:link w:val="SourceChar"/>
    <w:uiPriority w:val="99"/>
    <w:qFormat/>
    <w:rsid w:val="001F7F7B"/>
    <w:pPr>
      <w:spacing w:before="40" w:after="0"/>
      <w:ind w:left="680" w:hanging="680"/>
    </w:pPr>
    <w:rPr>
      <w:rFonts w:ascii="Arial" w:hAnsi="Arial"/>
      <w:szCs w:val="20"/>
      <w:lang w:eastAsia="el-GR"/>
    </w:rPr>
  </w:style>
  <w:style w:type="character" w:customStyle="1" w:styleId="SourceChar">
    <w:name w:val="Source Char"/>
    <w:link w:val="Source"/>
    <w:uiPriority w:val="99"/>
    <w:locked/>
    <w:rsid w:val="001F7F7B"/>
    <w:rPr>
      <w:rFonts w:ascii="Arial" w:hAnsi="Arial"/>
      <w:sz w:val="24"/>
      <w:szCs w:val="20"/>
      <w:lang w:eastAsia="el-GR"/>
    </w:rPr>
  </w:style>
  <w:style w:type="character" w:customStyle="1" w:styleId="Heading1Char">
    <w:name w:val="Heading 1 Char"/>
    <w:basedOn w:val="DefaultParagraphFont"/>
    <w:link w:val="Heading1"/>
    <w:uiPriority w:val="99"/>
    <w:rsid w:val="001F7F7B"/>
    <w:rPr>
      <w:rFonts w:ascii="Cambria" w:hAnsi="Cambria"/>
      <w:b/>
      <w:bCs/>
      <w:color w:val="365F91"/>
      <w:sz w:val="32"/>
      <w:szCs w:val="32"/>
    </w:rPr>
  </w:style>
  <w:style w:type="character" w:customStyle="1" w:styleId="Heading2Char">
    <w:name w:val="Heading 2 Char"/>
    <w:basedOn w:val="DefaultParagraphFont"/>
    <w:link w:val="Heading2"/>
    <w:uiPriority w:val="99"/>
    <w:rsid w:val="001F7F7B"/>
    <w:rPr>
      <w:rFonts w:ascii="Times New Roman" w:hAnsi="Times New Roman"/>
      <w:b/>
      <w:bCs/>
      <w:sz w:val="24"/>
      <w:szCs w:val="24"/>
      <w:lang w:eastAsia="en-GB"/>
    </w:rPr>
  </w:style>
  <w:style w:type="character" w:customStyle="1" w:styleId="Heading3Char">
    <w:name w:val="Heading 3 Char"/>
    <w:basedOn w:val="DefaultParagraphFont"/>
    <w:link w:val="Heading3"/>
    <w:uiPriority w:val="99"/>
    <w:rsid w:val="001F7F7B"/>
    <w:rPr>
      <w:rFonts w:ascii="Cambria" w:hAnsi="Cambria"/>
      <w:b/>
      <w:bCs/>
      <w:color w:val="4F81BD"/>
    </w:rPr>
  </w:style>
  <w:style w:type="character" w:customStyle="1" w:styleId="Heading4Char">
    <w:name w:val="Heading 4 Char"/>
    <w:basedOn w:val="DefaultParagraphFont"/>
    <w:link w:val="Heading4"/>
    <w:uiPriority w:val="99"/>
    <w:rsid w:val="001F7F7B"/>
    <w:rPr>
      <w:rFonts w:ascii="Cambria" w:hAnsi="Cambria"/>
      <w:b/>
      <w:bCs/>
      <w:i/>
      <w:iCs/>
      <w:color w:val="4F81BD"/>
    </w:rPr>
  </w:style>
  <w:style w:type="character" w:customStyle="1" w:styleId="Heading5Char">
    <w:name w:val="Heading 5 Char"/>
    <w:basedOn w:val="DefaultParagraphFont"/>
    <w:link w:val="Heading5"/>
    <w:uiPriority w:val="99"/>
    <w:rsid w:val="001F7F7B"/>
    <w:rPr>
      <w:rFonts w:ascii="Cambria" w:hAnsi="Cambria"/>
      <w:color w:val="243F60"/>
    </w:rPr>
  </w:style>
  <w:style w:type="paragraph" w:styleId="Caption">
    <w:name w:val="caption"/>
    <w:basedOn w:val="Normal"/>
    <w:next w:val="Normal"/>
    <w:link w:val="CaptionChar"/>
    <w:uiPriority w:val="99"/>
    <w:qFormat/>
    <w:rsid w:val="001F7F7B"/>
    <w:pPr>
      <w:keepNext/>
      <w:spacing w:before="360"/>
      <w:ind w:left="1049" w:hanging="1049"/>
    </w:pPr>
    <w:rPr>
      <w:rFonts w:ascii="Arial" w:hAnsi="Arial"/>
      <w:b/>
      <w:szCs w:val="22"/>
      <w:lang w:eastAsia="el-GR"/>
    </w:rPr>
  </w:style>
  <w:style w:type="character" w:customStyle="1" w:styleId="CaptionChar">
    <w:name w:val="Caption Char"/>
    <w:link w:val="Caption"/>
    <w:uiPriority w:val="99"/>
    <w:locked/>
    <w:rsid w:val="001F7F7B"/>
    <w:rPr>
      <w:rFonts w:ascii="Arial" w:hAnsi="Arial"/>
      <w:b/>
      <w:sz w:val="24"/>
      <w:lang w:eastAsia="el-GR"/>
    </w:rPr>
  </w:style>
  <w:style w:type="character" w:styleId="Strong">
    <w:name w:val="Strong"/>
    <w:basedOn w:val="DefaultParagraphFont"/>
    <w:uiPriority w:val="22"/>
    <w:qFormat/>
    <w:rsid w:val="001F7F7B"/>
    <w:rPr>
      <w:rFonts w:ascii="Times New Roman" w:hAnsi="Times New Roman" w:cs="Times New Roman" w:hint="default"/>
      <w:b/>
      <w:bCs/>
    </w:rPr>
  </w:style>
  <w:style w:type="paragraph" w:styleId="ListParagraph">
    <w:name w:val="List Paragraph"/>
    <w:basedOn w:val="Normal"/>
    <w:uiPriority w:val="34"/>
    <w:qFormat/>
    <w:rsid w:val="001F7F7B"/>
    <w:pPr>
      <w:ind w:left="720"/>
      <w:contextualSpacing/>
    </w:pPr>
  </w:style>
  <w:style w:type="paragraph" w:styleId="Quote">
    <w:name w:val="Quote"/>
    <w:basedOn w:val="Normal"/>
    <w:next w:val="Normal"/>
    <w:link w:val="QuoteChar"/>
    <w:uiPriority w:val="99"/>
    <w:qFormat/>
    <w:rsid w:val="001F7F7B"/>
    <w:rPr>
      <w:rFonts w:ascii="Calibri" w:hAnsi="Calibri"/>
      <w:i/>
      <w:iCs/>
      <w:color w:val="000000"/>
      <w:sz w:val="22"/>
      <w:szCs w:val="22"/>
      <w:lang w:eastAsia="ja-JP"/>
    </w:rPr>
  </w:style>
  <w:style w:type="character" w:customStyle="1" w:styleId="QuoteChar">
    <w:name w:val="Quote Char"/>
    <w:basedOn w:val="DefaultParagraphFont"/>
    <w:link w:val="Quote"/>
    <w:uiPriority w:val="99"/>
    <w:rsid w:val="001F7F7B"/>
    <w:rPr>
      <w:i/>
      <w:iCs/>
      <w:color w:val="000000"/>
      <w:lang w:val="bg-BG" w:eastAsia="ja-JP"/>
    </w:rPr>
  </w:style>
  <w:style w:type="paragraph" w:styleId="TOCHeading">
    <w:name w:val="TOC Heading"/>
    <w:basedOn w:val="Heading1"/>
    <w:next w:val="Normal"/>
    <w:uiPriority w:val="99"/>
    <w:qFormat/>
    <w:rsid w:val="001F7F7B"/>
    <w:pPr>
      <w:outlineLvl w:val="9"/>
    </w:pPr>
    <w:rPr>
      <w:lang w:eastAsia="ja-JP"/>
    </w:rPr>
  </w:style>
  <w:style w:type="paragraph" w:styleId="Header">
    <w:name w:val="header"/>
    <w:basedOn w:val="Normal"/>
    <w:link w:val="HeaderChar"/>
    <w:uiPriority w:val="99"/>
    <w:unhideWhenUsed/>
    <w:rsid w:val="008151F7"/>
    <w:pPr>
      <w:tabs>
        <w:tab w:val="center" w:pos="4513"/>
        <w:tab w:val="right" w:pos="9026"/>
      </w:tabs>
      <w:spacing w:before="0" w:after="0"/>
    </w:pPr>
  </w:style>
  <w:style w:type="character" w:customStyle="1" w:styleId="HeaderChar">
    <w:name w:val="Header Char"/>
    <w:basedOn w:val="DefaultParagraphFont"/>
    <w:link w:val="Header"/>
    <w:uiPriority w:val="99"/>
    <w:rsid w:val="008151F7"/>
    <w:rPr>
      <w:rFonts w:ascii="Times New Roman" w:hAnsi="Times New Roman"/>
      <w:sz w:val="24"/>
      <w:szCs w:val="24"/>
      <w:lang w:eastAsia="en-GB"/>
    </w:rPr>
  </w:style>
  <w:style w:type="paragraph" w:styleId="Footer">
    <w:name w:val="footer"/>
    <w:basedOn w:val="Normal"/>
    <w:link w:val="FooterChar"/>
    <w:uiPriority w:val="99"/>
    <w:unhideWhenUsed/>
    <w:rsid w:val="008151F7"/>
    <w:pPr>
      <w:tabs>
        <w:tab w:val="center" w:pos="4513"/>
        <w:tab w:val="right" w:pos="9026"/>
      </w:tabs>
      <w:spacing w:before="0" w:after="0"/>
    </w:pPr>
  </w:style>
  <w:style w:type="character" w:customStyle="1" w:styleId="FooterChar">
    <w:name w:val="Footer Char"/>
    <w:basedOn w:val="DefaultParagraphFont"/>
    <w:link w:val="Footer"/>
    <w:uiPriority w:val="99"/>
    <w:rsid w:val="008151F7"/>
    <w:rPr>
      <w:rFonts w:ascii="Times New Roman" w:hAnsi="Times New Roman"/>
      <w:sz w:val="24"/>
      <w:szCs w:val="24"/>
      <w:lang w:eastAsia="en-GB"/>
    </w:rPr>
  </w:style>
  <w:style w:type="character" w:customStyle="1" w:styleId="FootnoteTextChar">
    <w:name w:val="Footnote Text Char"/>
    <w:aliases w:val="Tekst fusnote Char2 Char Char,Tekst fusnote Char1 Char1 Char Char,Tekst fusnote Char Char Char1 Char Char,Tekst fusnote Char1 Char Char Char Char Char,Tekst fusnote Char Char Char Char Char Char Char,fn Char,Fußnote Char"/>
    <w:basedOn w:val="DefaultParagraphFont"/>
    <w:link w:val="FootnoteText"/>
    <w:uiPriority w:val="99"/>
    <w:semiHidden/>
    <w:locked/>
    <w:rsid w:val="00A32DEA"/>
    <w:rPr>
      <w:sz w:val="20"/>
    </w:rPr>
  </w:style>
  <w:style w:type="paragraph" w:styleId="FootnoteText">
    <w:name w:val="footnote text"/>
    <w:aliases w:val="Tekst fusnote Char2 Char,Tekst fusnote Char1 Char1 Char,Tekst fusnote Char Char Char1 Char,Tekst fusnote Char1 Char Char Char Char,Tekst fusnote Char Char Char Char Char Char,Tekst fusnote Char Char1 Char Char,fn,Fußnote,Footnote Text Blue"/>
    <w:basedOn w:val="Normal"/>
    <w:link w:val="FootnoteTextChar"/>
    <w:uiPriority w:val="99"/>
    <w:semiHidden/>
    <w:unhideWhenUsed/>
    <w:qFormat/>
    <w:rsid w:val="00A32DEA"/>
    <w:pPr>
      <w:spacing w:before="0"/>
      <w:ind w:left="357" w:hanging="357"/>
    </w:pPr>
    <w:rPr>
      <w:rFonts w:ascii="Calibri" w:hAnsi="Calibri"/>
      <w:sz w:val="20"/>
      <w:szCs w:val="22"/>
      <w:lang w:eastAsia="en-US"/>
    </w:rPr>
  </w:style>
  <w:style w:type="character" w:customStyle="1" w:styleId="FootnoteTextChar1">
    <w:name w:val="Footnote Text Char1"/>
    <w:basedOn w:val="DefaultParagraphFont"/>
    <w:uiPriority w:val="99"/>
    <w:semiHidden/>
    <w:rsid w:val="00A32DEA"/>
    <w:rPr>
      <w:rFonts w:ascii="Times New Roman" w:hAnsi="Times New Roman"/>
      <w:sz w:val="20"/>
      <w:szCs w:val="20"/>
      <w:lang w:eastAsia="en-GB"/>
    </w:rPr>
  </w:style>
  <w:style w:type="paragraph" w:customStyle="1" w:styleId="Text1">
    <w:name w:val="Text 1"/>
    <w:basedOn w:val="Normal"/>
    <w:qFormat/>
    <w:rsid w:val="00A32DEA"/>
    <w:pPr>
      <w:spacing w:before="0" w:after="240"/>
      <w:ind w:left="482"/>
    </w:pPr>
    <w:rPr>
      <w:szCs w:val="20"/>
    </w:rPr>
  </w:style>
  <w:style w:type="character" w:styleId="FootnoteReference">
    <w:name w:val="footnote reference"/>
    <w:aliases w:val="Footnote symbol,Odwołanie przypisu,Footnote Reference Number,Footnote Reference Superscript,SUPERS,Times 10 Point,Exposant 3 Point,Footnote,Ref,de nota al pie,-E Fußnotenzeichen,ftref,number,stylish,fr,Footnote Char"/>
    <w:basedOn w:val="DefaultParagraphFont"/>
    <w:link w:val="FootnoteReferenceLVL6"/>
    <w:uiPriority w:val="99"/>
    <w:unhideWhenUsed/>
    <w:qFormat/>
    <w:rsid w:val="00A32DEA"/>
    <w:rPr>
      <w:vertAlign w:val="superscript"/>
    </w:rPr>
  </w:style>
  <w:style w:type="paragraph" w:customStyle="1" w:styleId="FootnoteReferenceLVL6">
    <w:name w:val="Footnote Reference_LVL6"/>
    <w:aliases w:val="Footnote Reference_LVL61,Footnote Reference_LVL62,Footnote Reference_LVL63,Footnote Reference_LVL64,Odwo&lt;0142&gt;anie przypisu,SUPER,BVI fnr Char1 Char"/>
    <w:basedOn w:val="Normal"/>
    <w:next w:val="Normal"/>
    <w:link w:val="FootnoteReference"/>
    <w:uiPriority w:val="99"/>
    <w:rsid w:val="00A32DEA"/>
    <w:pPr>
      <w:spacing w:before="0" w:after="160" w:line="240" w:lineRule="exact"/>
    </w:pPr>
    <w:rPr>
      <w:rFonts w:ascii="Calibri" w:hAnsi="Calibri"/>
      <w:sz w:val="22"/>
      <w:szCs w:val="22"/>
      <w:vertAlign w:val="superscript"/>
      <w:lang w:eastAsia="en-US"/>
    </w:rPr>
  </w:style>
  <w:style w:type="paragraph" w:styleId="Subtitle">
    <w:name w:val="Subtitle"/>
    <w:basedOn w:val="Normal"/>
    <w:next w:val="Normal"/>
    <w:link w:val="SubtitleChar"/>
    <w:qFormat/>
    <w:rsid w:val="00115FF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115FFB"/>
    <w:rPr>
      <w:rFonts w:asciiTheme="minorHAnsi" w:eastAsiaTheme="minorEastAsia" w:hAnsiTheme="minorHAnsi" w:cstheme="minorBidi"/>
      <w:color w:val="5A5A5A" w:themeColor="text1" w:themeTint="A5"/>
      <w:spacing w:val="15"/>
      <w:lang w:eastAsia="en-GB"/>
    </w:rPr>
  </w:style>
  <w:style w:type="paragraph" w:styleId="BalloonText">
    <w:name w:val="Balloon Text"/>
    <w:basedOn w:val="Normal"/>
    <w:link w:val="BalloonTextChar"/>
    <w:uiPriority w:val="99"/>
    <w:semiHidden/>
    <w:unhideWhenUsed/>
    <w:rsid w:val="009966B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66B9"/>
    <w:rPr>
      <w:rFonts w:ascii="Segoe UI" w:hAnsi="Segoe UI" w:cs="Segoe UI"/>
      <w:sz w:val="18"/>
      <w:szCs w:val="18"/>
      <w:lang w:eastAsia="en-GB"/>
    </w:rPr>
  </w:style>
  <w:style w:type="character" w:styleId="CommentReference">
    <w:name w:val="annotation reference"/>
    <w:basedOn w:val="DefaultParagraphFont"/>
    <w:uiPriority w:val="99"/>
    <w:semiHidden/>
    <w:unhideWhenUsed/>
    <w:rsid w:val="009966B9"/>
    <w:rPr>
      <w:sz w:val="16"/>
      <w:szCs w:val="16"/>
    </w:rPr>
  </w:style>
  <w:style w:type="paragraph" w:styleId="CommentText">
    <w:name w:val="annotation text"/>
    <w:basedOn w:val="Normal"/>
    <w:link w:val="CommentTextChar"/>
    <w:uiPriority w:val="99"/>
    <w:unhideWhenUsed/>
    <w:rsid w:val="009966B9"/>
    <w:rPr>
      <w:sz w:val="20"/>
      <w:szCs w:val="20"/>
    </w:rPr>
  </w:style>
  <w:style w:type="character" w:customStyle="1" w:styleId="CommentTextChar">
    <w:name w:val="Comment Text Char"/>
    <w:basedOn w:val="DefaultParagraphFont"/>
    <w:link w:val="CommentText"/>
    <w:uiPriority w:val="99"/>
    <w:rsid w:val="009966B9"/>
    <w:rPr>
      <w:rFonts w:ascii="Times New Roman" w:hAnsi="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966B9"/>
    <w:rPr>
      <w:b/>
      <w:bCs/>
    </w:rPr>
  </w:style>
  <w:style w:type="character" w:customStyle="1" w:styleId="CommentSubjectChar">
    <w:name w:val="Comment Subject Char"/>
    <w:basedOn w:val="CommentTextChar"/>
    <w:link w:val="CommentSubject"/>
    <w:uiPriority w:val="99"/>
    <w:semiHidden/>
    <w:rsid w:val="009966B9"/>
    <w:rPr>
      <w:rFonts w:ascii="Times New Roman" w:hAnsi="Times New Roman"/>
      <w:b/>
      <w:bCs/>
      <w:sz w:val="20"/>
      <w:szCs w:val="20"/>
      <w:lang w:eastAsia="en-GB"/>
    </w:rPr>
  </w:style>
  <w:style w:type="table" w:styleId="TableGrid">
    <w:name w:val="Table Grid"/>
    <w:basedOn w:val="TableNormal"/>
    <w:uiPriority w:val="59"/>
    <w:rsid w:val="00B1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3-Accent21">
    <w:name w:val="Grid Table 3 - Accent 21"/>
    <w:basedOn w:val="TableNormal"/>
    <w:uiPriority w:val="48"/>
    <w:rsid w:val="00FC433E"/>
    <w:rPr>
      <w:rFonts w:asciiTheme="minorHAnsi" w:eastAsiaTheme="minorHAnsi" w:hAnsiTheme="minorHAnsi" w:cstheme="minorBidi"/>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1Light-Accent3">
    <w:name w:val="Grid Table 1 Light Accent 3"/>
    <w:basedOn w:val="TableNormal"/>
    <w:uiPriority w:val="46"/>
    <w:rsid w:val="005340F3"/>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340F3"/>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3-Accent5">
    <w:name w:val="Grid Table 3 Accent 5"/>
    <w:basedOn w:val="TableNormal"/>
    <w:uiPriority w:val="48"/>
    <w:rsid w:val="005340F3"/>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5Dark-Accent5">
    <w:name w:val="Grid Table 5 Dark Accent 5"/>
    <w:basedOn w:val="TableNormal"/>
    <w:uiPriority w:val="50"/>
    <w:rsid w:val="005340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ListTable5Dark-Accent5">
    <w:name w:val="List Table 5 Dark Accent 5"/>
    <w:basedOn w:val="TableNormal"/>
    <w:uiPriority w:val="50"/>
    <w:rsid w:val="005340F3"/>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customStyle="1" w:styleId="highlight">
    <w:name w:val="highlight"/>
    <w:basedOn w:val="DefaultParagraphFont"/>
    <w:rsid w:val="00A327CE"/>
  </w:style>
  <w:style w:type="paragraph" w:customStyle="1" w:styleId="Briefinglist1">
    <w:name w:val="Briefing list 1"/>
    <w:basedOn w:val="Normal"/>
    <w:rsid w:val="00C66D9D"/>
    <w:pPr>
      <w:keepLines/>
      <w:numPr>
        <w:numId w:val="1"/>
      </w:numPr>
      <w:spacing w:before="0"/>
    </w:pPr>
    <w:rPr>
      <w:rFonts w:ascii="Arial" w:hAnsi="Arial" w:cs="Arial"/>
      <w:sz w:val="22"/>
      <w:lang w:eastAsia="en-US"/>
    </w:rPr>
  </w:style>
  <w:style w:type="paragraph" w:customStyle="1" w:styleId="Briefingtext">
    <w:name w:val="Briefing text"/>
    <w:basedOn w:val="Normal"/>
    <w:rsid w:val="00F366C7"/>
    <w:pPr>
      <w:spacing w:before="0" w:after="240" w:line="256" w:lineRule="auto"/>
    </w:pPr>
    <w:rPr>
      <w:rFonts w:ascii="Arial" w:hAnsi="Arial" w:cs="Arial"/>
      <w:color w:val="000000"/>
      <w:kern w:val="28"/>
      <w:sz w:val="22"/>
      <w:szCs w:val="22"/>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40894">
      <w:bodyDiv w:val="1"/>
      <w:marLeft w:val="0"/>
      <w:marRight w:val="0"/>
      <w:marTop w:val="0"/>
      <w:marBottom w:val="0"/>
      <w:divBdr>
        <w:top w:val="none" w:sz="0" w:space="0" w:color="auto"/>
        <w:left w:val="none" w:sz="0" w:space="0" w:color="auto"/>
        <w:bottom w:val="none" w:sz="0" w:space="0" w:color="auto"/>
        <w:right w:val="none" w:sz="0" w:space="0" w:color="auto"/>
      </w:divBdr>
    </w:div>
    <w:div w:id="209611096">
      <w:bodyDiv w:val="1"/>
      <w:marLeft w:val="0"/>
      <w:marRight w:val="0"/>
      <w:marTop w:val="0"/>
      <w:marBottom w:val="0"/>
      <w:divBdr>
        <w:top w:val="none" w:sz="0" w:space="0" w:color="auto"/>
        <w:left w:val="none" w:sz="0" w:space="0" w:color="auto"/>
        <w:bottom w:val="none" w:sz="0" w:space="0" w:color="auto"/>
        <w:right w:val="none" w:sz="0" w:space="0" w:color="auto"/>
      </w:divBdr>
    </w:div>
    <w:div w:id="240146536">
      <w:bodyDiv w:val="1"/>
      <w:marLeft w:val="0"/>
      <w:marRight w:val="0"/>
      <w:marTop w:val="0"/>
      <w:marBottom w:val="0"/>
      <w:divBdr>
        <w:top w:val="none" w:sz="0" w:space="0" w:color="auto"/>
        <w:left w:val="none" w:sz="0" w:space="0" w:color="auto"/>
        <w:bottom w:val="none" w:sz="0" w:space="0" w:color="auto"/>
        <w:right w:val="none" w:sz="0" w:space="0" w:color="auto"/>
      </w:divBdr>
    </w:div>
    <w:div w:id="503015661">
      <w:bodyDiv w:val="1"/>
      <w:marLeft w:val="0"/>
      <w:marRight w:val="0"/>
      <w:marTop w:val="0"/>
      <w:marBottom w:val="0"/>
      <w:divBdr>
        <w:top w:val="none" w:sz="0" w:space="0" w:color="auto"/>
        <w:left w:val="none" w:sz="0" w:space="0" w:color="auto"/>
        <w:bottom w:val="none" w:sz="0" w:space="0" w:color="auto"/>
        <w:right w:val="none" w:sz="0" w:space="0" w:color="auto"/>
      </w:divBdr>
    </w:div>
    <w:div w:id="561991723">
      <w:bodyDiv w:val="1"/>
      <w:marLeft w:val="0"/>
      <w:marRight w:val="0"/>
      <w:marTop w:val="0"/>
      <w:marBottom w:val="0"/>
      <w:divBdr>
        <w:top w:val="none" w:sz="0" w:space="0" w:color="auto"/>
        <w:left w:val="none" w:sz="0" w:space="0" w:color="auto"/>
        <w:bottom w:val="none" w:sz="0" w:space="0" w:color="auto"/>
        <w:right w:val="none" w:sz="0" w:space="0" w:color="auto"/>
      </w:divBdr>
    </w:div>
    <w:div w:id="868492322">
      <w:bodyDiv w:val="1"/>
      <w:marLeft w:val="0"/>
      <w:marRight w:val="0"/>
      <w:marTop w:val="0"/>
      <w:marBottom w:val="0"/>
      <w:divBdr>
        <w:top w:val="none" w:sz="0" w:space="0" w:color="auto"/>
        <w:left w:val="none" w:sz="0" w:space="0" w:color="auto"/>
        <w:bottom w:val="none" w:sz="0" w:space="0" w:color="auto"/>
        <w:right w:val="none" w:sz="0" w:space="0" w:color="auto"/>
      </w:divBdr>
    </w:div>
    <w:div w:id="870847826">
      <w:bodyDiv w:val="1"/>
      <w:marLeft w:val="0"/>
      <w:marRight w:val="0"/>
      <w:marTop w:val="0"/>
      <w:marBottom w:val="0"/>
      <w:divBdr>
        <w:top w:val="none" w:sz="0" w:space="0" w:color="auto"/>
        <w:left w:val="none" w:sz="0" w:space="0" w:color="auto"/>
        <w:bottom w:val="none" w:sz="0" w:space="0" w:color="auto"/>
        <w:right w:val="none" w:sz="0" w:space="0" w:color="auto"/>
      </w:divBdr>
    </w:div>
    <w:div w:id="994071441">
      <w:bodyDiv w:val="1"/>
      <w:marLeft w:val="0"/>
      <w:marRight w:val="0"/>
      <w:marTop w:val="0"/>
      <w:marBottom w:val="0"/>
      <w:divBdr>
        <w:top w:val="none" w:sz="0" w:space="0" w:color="auto"/>
        <w:left w:val="none" w:sz="0" w:space="0" w:color="auto"/>
        <w:bottom w:val="none" w:sz="0" w:space="0" w:color="auto"/>
        <w:right w:val="none" w:sz="0" w:space="0" w:color="auto"/>
      </w:divBdr>
    </w:div>
    <w:div w:id="995303665">
      <w:bodyDiv w:val="1"/>
      <w:marLeft w:val="0"/>
      <w:marRight w:val="0"/>
      <w:marTop w:val="0"/>
      <w:marBottom w:val="0"/>
      <w:divBdr>
        <w:top w:val="none" w:sz="0" w:space="0" w:color="auto"/>
        <w:left w:val="none" w:sz="0" w:space="0" w:color="auto"/>
        <w:bottom w:val="none" w:sz="0" w:space="0" w:color="auto"/>
        <w:right w:val="none" w:sz="0" w:space="0" w:color="auto"/>
      </w:divBdr>
    </w:div>
    <w:div w:id="1023705043">
      <w:bodyDiv w:val="1"/>
      <w:marLeft w:val="0"/>
      <w:marRight w:val="0"/>
      <w:marTop w:val="0"/>
      <w:marBottom w:val="0"/>
      <w:divBdr>
        <w:top w:val="none" w:sz="0" w:space="0" w:color="auto"/>
        <w:left w:val="none" w:sz="0" w:space="0" w:color="auto"/>
        <w:bottom w:val="none" w:sz="0" w:space="0" w:color="auto"/>
        <w:right w:val="none" w:sz="0" w:space="0" w:color="auto"/>
      </w:divBdr>
    </w:div>
    <w:div w:id="1027870285">
      <w:bodyDiv w:val="1"/>
      <w:marLeft w:val="0"/>
      <w:marRight w:val="0"/>
      <w:marTop w:val="0"/>
      <w:marBottom w:val="0"/>
      <w:divBdr>
        <w:top w:val="none" w:sz="0" w:space="0" w:color="auto"/>
        <w:left w:val="none" w:sz="0" w:space="0" w:color="auto"/>
        <w:bottom w:val="none" w:sz="0" w:space="0" w:color="auto"/>
        <w:right w:val="none" w:sz="0" w:space="0" w:color="auto"/>
      </w:divBdr>
    </w:div>
    <w:div w:id="1493138053">
      <w:bodyDiv w:val="1"/>
      <w:marLeft w:val="0"/>
      <w:marRight w:val="0"/>
      <w:marTop w:val="0"/>
      <w:marBottom w:val="0"/>
      <w:divBdr>
        <w:top w:val="none" w:sz="0" w:space="0" w:color="auto"/>
        <w:left w:val="none" w:sz="0" w:space="0" w:color="auto"/>
        <w:bottom w:val="none" w:sz="0" w:space="0" w:color="auto"/>
        <w:right w:val="none" w:sz="0" w:space="0" w:color="auto"/>
      </w:divBdr>
    </w:div>
    <w:div w:id="1522284965">
      <w:bodyDiv w:val="1"/>
      <w:marLeft w:val="0"/>
      <w:marRight w:val="0"/>
      <w:marTop w:val="0"/>
      <w:marBottom w:val="0"/>
      <w:divBdr>
        <w:top w:val="none" w:sz="0" w:space="0" w:color="auto"/>
        <w:left w:val="none" w:sz="0" w:space="0" w:color="auto"/>
        <w:bottom w:val="none" w:sz="0" w:space="0" w:color="auto"/>
        <w:right w:val="none" w:sz="0" w:space="0" w:color="auto"/>
      </w:divBdr>
    </w:div>
    <w:div w:id="1626890285">
      <w:bodyDiv w:val="1"/>
      <w:marLeft w:val="0"/>
      <w:marRight w:val="0"/>
      <w:marTop w:val="0"/>
      <w:marBottom w:val="0"/>
      <w:divBdr>
        <w:top w:val="none" w:sz="0" w:space="0" w:color="auto"/>
        <w:left w:val="none" w:sz="0" w:space="0" w:color="auto"/>
        <w:bottom w:val="none" w:sz="0" w:space="0" w:color="auto"/>
        <w:right w:val="none" w:sz="0" w:space="0" w:color="auto"/>
      </w:divBdr>
    </w:div>
    <w:div w:id="1634361809">
      <w:bodyDiv w:val="1"/>
      <w:marLeft w:val="0"/>
      <w:marRight w:val="0"/>
      <w:marTop w:val="0"/>
      <w:marBottom w:val="0"/>
      <w:divBdr>
        <w:top w:val="none" w:sz="0" w:space="0" w:color="auto"/>
        <w:left w:val="none" w:sz="0" w:space="0" w:color="auto"/>
        <w:bottom w:val="none" w:sz="0" w:space="0" w:color="auto"/>
        <w:right w:val="none" w:sz="0" w:space="0" w:color="auto"/>
      </w:divBdr>
    </w:div>
    <w:div w:id="1638947482">
      <w:bodyDiv w:val="1"/>
      <w:marLeft w:val="0"/>
      <w:marRight w:val="0"/>
      <w:marTop w:val="0"/>
      <w:marBottom w:val="0"/>
      <w:divBdr>
        <w:top w:val="none" w:sz="0" w:space="0" w:color="auto"/>
        <w:left w:val="none" w:sz="0" w:space="0" w:color="auto"/>
        <w:bottom w:val="none" w:sz="0" w:space="0" w:color="auto"/>
        <w:right w:val="none" w:sz="0" w:space="0" w:color="auto"/>
      </w:divBdr>
    </w:div>
    <w:div w:id="1796026017">
      <w:bodyDiv w:val="1"/>
      <w:marLeft w:val="0"/>
      <w:marRight w:val="0"/>
      <w:marTop w:val="0"/>
      <w:marBottom w:val="0"/>
      <w:divBdr>
        <w:top w:val="none" w:sz="0" w:space="0" w:color="auto"/>
        <w:left w:val="none" w:sz="0" w:space="0" w:color="auto"/>
        <w:bottom w:val="none" w:sz="0" w:space="0" w:color="auto"/>
        <w:right w:val="none" w:sz="0" w:space="0" w:color="auto"/>
      </w:divBdr>
    </w:div>
    <w:div w:id="202601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081208EEDCFC843807B22F6F2C1FEC1" ma:contentTypeVersion="15" ma:contentTypeDescription="Create a new document." ma:contentTypeScope="" ma:versionID="f00b3df5ab4125de076a6118af11f1a1">
  <xsd:schema xmlns:xsd="http://www.w3.org/2001/XMLSchema" xmlns:xs="http://www.w3.org/2001/XMLSchema" xmlns:p="http://schemas.microsoft.com/office/2006/metadata/properties" xmlns:ns2="d2efb67e-a73a-4854-91ed-02b4abe1649e" xmlns:ns3="1b1fca5a-21d0-43aa-863b-526438e901f5" targetNamespace="http://schemas.microsoft.com/office/2006/metadata/properties" ma:root="true" ma:fieldsID="c7f61680ea2bee05116aca8857cc1bb3" ns2:_="" ns3:_="">
    <xsd:import namespace="d2efb67e-a73a-4854-91ed-02b4abe1649e"/>
    <xsd:import namespace="1b1fca5a-21d0-43aa-863b-526438e901f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efb67e-a73a-4854-91ed-02b4abe164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1fca5a-21d0-43aa-863b-526438e901f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2efb67e-a73a-4854-91ed-02b4abe1649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7E98261-A7C6-4A41-B062-F983BE60B2E8}">
  <ds:schemaRefs>
    <ds:schemaRef ds:uri="http://schemas.openxmlformats.org/officeDocument/2006/bibliography"/>
  </ds:schemaRefs>
</ds:datastoreItem>
</file>

<file path=customXml/itemProps2.xml><?xml version="1.0" encoding="utf-8"?>
<ds:datastoreItem xmlns:ds="http://schemas.openxmlformats.org/officeDocument/2006/customXml" ds:itemID="{45FEAFB6-3AEC-4436-AB86-5BD3F4E9CD74}"/>
</file>

<file path=customXml/itemProps3.xml><?xml version="1.0" encoding="utf-8"?>
<ds:datastoreItem xmlns:ds="http://schemas.openxmlformats.org/officeDocument/2006/customXml" ds:itemID="{FFC22D29-9CE6-4100-A300-7F2D6A432369}"/>
</file>

<file path=customXml/itemProps4.xml><?xml version="1.0" encoding="utf-8"?>
<ds:datastoreItem xmlns:ds="http://schemas.openxmlformats.org/officeDocument/2006/customXml" ds:itemID="{D0D94F48-D359-43D8-B603-8A4170CAADE1}"/>
</file>

<file path=docProps/app.xml><?xml version="1.0" encoding="utf-8"?>
<Properties xmlns="http://schemas.openxmlformats.org/officeDocument/2006/extended-properties" xmlns:vt="http://schemas.openxmlformats.org/officeDocument/2006/docPropsVTypes">
  <Template>Normal.dotm</Template>
  <TotalTime>0</TotalTime>
  <Pages>6</Pages>
  <Words>1608</Words>
  <Characters>10119</Characters>
  <Application>Microsoft Office Word</Application>
  <DocSecurity>0</DocSecurity>
  <Lines>187</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2020-11-23T14:52:00Z</dcterms:created>
  <dcterms:modified xsi:type="dcterms:W3CDTF">2021-02-10T09:40:00Z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0x010100F081208EEDCFC843807B22F6F2C1FEC1</vt:lpwstr>
  </property>
</Properties>
</file>