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9B5B14"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41D680A4"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1133118D"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5F0AC7A6"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1E5CB2C5"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339E13DA" w14:textId="3B9A0272" w:rsidR="000D72F3" w:rsidRPr="0059792B" w:rsidRDefault="000D72F3" w:rsidP="000D72F3">
      <w:pPr>
        <w:pStyle w:val="Briefingtext"/>
        <w:spacing w:after="0" w:line="276" w:lineRule="auto"/>
        <w:rPr>
          <w:b/>
          <w:sz w:val="28"/>
          <w:szCs w:val="28"/>
          <w14:ligatures w14:val="none"/>
          <w:rFonts w:ascii="EC Square Sans Pro" w:hAnsi="EC Square Sans Pro"/>
        </w:rPr>
      </w:pPr>
      <w:r>
        <w:rPr>
          <w:b/>
          <w:sz w:val="28"/>
          <w:szCs w:val="28"/>
          <w:rFonts w:ascii="EC Square Sans Pro" w:hAnsi="EC Square Sans Pro"/>
        </w:rPr>
        <w:t xml:space="preserve">PAGT FOR FÆRDIGHEDER</w:t>
      </w:r>
      <w:r>
        <w:rPr>
          <w:b/>
          <w:sz w:val="28"/>
          <w:szCs w:val="28"/>
          <w:rFonts w:ascii="EC Square Sans Pro" w:hAnsi="EC Square Sans Pro"/>
        </w:rPr>
        <w:t xml:space="preserve"> </w:t>
      </w:r>
    </w:p>
    <w:p w14:paraId="526C6CDC" w14:textId="77777777" w:rsidR="000D72F3" w:rsidRPr="0059792B" w:rsidRDefault="000D72F3" w:rsidP="000D72F3">
      <w:pPr>
        <w:pStyle w:val="Briefingtext"/>
        <w:spacing w:after="0" w:line="276" w:lineRule="auto"/>
        <w:rPr>
          <w:rFonts w:ascii="EC Square Sans Pro" w:hAnsi="EC Square Sans Pro"/>
          <w14:ligatures w14:val="none"/>
        </w:rPr>
      </w:pPr>
    </w:p>
    <w:p w14:paraId="24990585" w14:textId="77777777" w:rsidR="000D72F3" w:rsidRPr="0059792B" w:rsidRDefault="000D72F3" w:rsidP="000D72F3">
      <w:pPr>
        <w:pStyle w:val="Briefingtext"/>
        <w:spacing w:after="0" w:line="276" w:lineRule="auto"/>
        <w:rPr>
          <w14:ligatures w14:val="none"/>
          <w:rFonts w:ascii="EC Square Sans Pro" w:hAnsi="EC Square Sans Pro"/>
        </w:rPr>
      </w:pPr>
      <w:r>
        <w:rPr>
          <w:rFonts w:ascii="EC Square Sans Pro" w:hAnsi="EC Square Sans Pro"/>
        </w:rPr>
        <w:t xml:space="preserve">Der er mange muligheder at hente ved at fremme en fælles foranstaltning, der skal maksimere virkningen af investeringer i færdigheder.</w:t>
      </w:r>
      <w:r>
        <w:rPr>
          <w:rFonts w:ascii="EC Square Sans Pro" w:hAnsi="EC Square Sans Pro"/>
        </w:rPr>
        <w:t xml:space="preserve"> </w:t>
      </w:r>
      <w:r>
        <w:rPr>
          <w:rFonts w:ascii="EC Square Sans Pro" w:hAnsi="EC Square Sans Pro"/>
        </w:rPr>
        <w:t xml:space="preserve">Politikker og foranstaltninger i forbindelse med færdigheder er fordelt mellem mange aktører.</w:t>
      </w:r>
      <w:r>
        <w:rPr>
          <w:rFonts w:ascii="EC Square Sans Pro" w:hAnsi="EC Square Sans Pro"/>
        </w:rPr>
        <w:t xml:space="preserve"> </w:t>
      </w:r>
      <w:r>
        <w:rPr>
          <w:rFonts w:ascii="EC Square Sans Pro" w:hAnsi="EC Square Sans Pro"/>
        </w:rPr>
        <w:t xml:space="preserve">Virksomheder, arbejdstagere, uddannelsesudbydere, nationale, regionale og lokale myndigheder, handelskamre og arbejdsformidlinger er blandt dem, der bidrager til at gøre opkvalificering og omskoling til en realitet.</w:t>
      </w:r>
      <w:r>
        <w:rPr>
          <w:rFonts w:ascii="EC Square Sans Pro" w:hAnsi="EC Square Sans Pro"/>
        </w:rPr>
        <w:t xml:space="preserve"> </w:t>
      </w:r>
      <w:r>
        <w:rPr>
          <w:rFonts w:ascii="EC Square Sans Pro" w:hAnsi="EC Square Sans Pro"/>
        </w:rPr>
        <w:t xml:space="preserve">En samordnet indsats kan skabe klarhed for enkeltpersoner og virksomheder i hele værdikæden, mindske omkostninger og fokusere på prioriteter.</w:t>
      </w:r>
    </w:p>
    <w:p w14:paraId="1D7591BD" w14:textId="77777777" w:rsidR="000D72F3" w:rsidRPr="0059792B" w:rsidRDefault="000D72F3" w:rsidP="000D72F3">
      <w:pPr>
        <w:pStyle w:val="Briefingtext"/>
        <w:spacing w:after="0" w:line="276" w:lineRule="auto"/>
        <w:rPr>
          <w:rFonts w:ascii="EC Square Sans Pro" w:hAnsi="EC Square Sans Pro"/>
          <w14:ligatures w14:val="none"/>
        </w:rPr>
      </w:pPr>
    </w:p>
    <w:p w14:paraId="4264D202" w14:textId="77777777" w:rsidR="000D72F3" w:rsidRPr="0059792B" w:rsidRDefault="000D72F3" w:rsidP="000D72F3">
      <w:pPr>
        <w:pStyle w:val="Briefingtext"/>
        <w:tabs>
          <w:tab w:val="left" w:pos="-31680"/>
        </w:tabs>
        <w:spacing w:before="120" w:after="0" w:line="276" w:lineRule="auto"/>
        <w:rPr>
          <w14:ligatures w14:val="none"/>
          <w:rFonts w:ascii="EC Square Sans Pro" w:hAnsi="EC Square Sans Pro"/>
        </w:rPr>
      </w:pPr>
      <w:r>
        <w:rPr>
          <w:rFonts w:ascii="EC Square Sans Pro" w:hAnsi="EC Square Sans Pro"/>
        </w:rPr>
        <w:t xml:space="preserve">Derfor lancerer Kommissionen en pagt for færdigheder — et fælles engagement og en fælles tilgang til færdighedsudvikling.</w:t>
      </w:r>
      <w:r>
        <w:rPr>
          <w:rFonts w:ascii="EC Square Sans Pro" w:hAnsi="EC Square Sans Pro"/>
        </w:rPr>
        <w:t xml:space="preserve"> </w:t>
      </w:r>
      <w:r>
        <w:rPr>
          <w:rFonts w:ascii="EC Square Sans Pro" w:hAnsi="EC Square Sans Pro"/>
        </w:rPr>
        <w:t xml:space="preserve">Pagten er fast forankret i principperne i den europæiske søjle for sociale rettigheder og støtter målene for den grønne pagt og den digitale omstilling som fastsat i Kommissionens meddelelse "Et stærkt socialt Europa for retfærdig omstilling".</w:t>
      </w:r>
      <w:r>
        <w:rPr>
          <w:rFonts w:ascii="EC Square Sans Pro" w:hAnsi="EC Square Sans Pro"/>
        </w:rPr>
        <w:t xml:space="preserve"> </w:t>
      </w:r>
    </w:p>
    <w:p w14:paraId="30D9621B" w14:textId="77777777" w:rsidR="000D72F3" w:rsidRPr="0059792B" w:rsidRDefault="000D72F3" w:rsidP="000D72F3">
      <w:pPr>
        <w:pStyle w:val="Briefingtext"/>
        <w:tabs>
          <w:tab w:val="left" w:pos="-31680"/>
        </w:tabs>
        <w:spacing w:before="120" w:after="0" w:line="276" w:lineRule="auto"/>
        <w:rPr>
          <w14:ligatures w14:val="none"/>
          <w:rFonts w:ascii="EC Square Sans Pro" w:hAnsi="EC Square Sans Pro"/>
        </w:rPr>
      </w:pPr>
      <w:r>
        <w:rPr>
          <w:rFonts w:ascii="EC Square Sans Pro" w:hAnsi="EC Square Sans Pro"/>
        </w:rPr>
        <w:t xml:space="preserve">Pagten har til formål at mobilisere og tilskynde private og offentlige interessenter til at træffe konkrete foranstaltninger til opkvalificering og omskoling af personer i den arbejdsdygtige alder og, hvor det er relevant, samle indsatser i partnerskaberne.</w:t>
      </w:r>
      <w:r>
        <w:rPr>
          <w:rFonts w:ascii="EC Square Sans Pro" w:hAnsi="EC Square Sans Pro"/>
        </w:rPr>
        <w:t xml:space="preserve"> </w:t>
      </w:r>
    </w:p>
    <w:p w14:paraId="1E95754F" w14:textId="77777777" w:rsidR="000D72F3" w:rsidRPr="0059792B" w:rsidRDefault="000D72F3" w:rsidP="000D72F3">
      <w:pPr>
        <w:pStyle w:val="Briefingtext"/>
        <w:tabs>
          <w:tab w:val="left" w:pos="-31680"/>
        </w:tabs>
        <w:spacing w:before="120" w:after="0" w:line="276" w:lineRule="auto"/>
        <w:rPr>
          <w:b/>
          <w:rFonts w:ascii="EC Square Sans Pro" w:hAnsi="EC Square Sans Pro" w:cs="Calibri"/>
        </w:rPr>
      </w:pPr>
      <w:r>
        <w:rPr>
          <w:b/>
          <w:rFonts w:ascii="EC Square Sans Pro" w:hAnsi="EC Square Sans Pro"/>
        </w:rPr>
        <w:t xml:space="preserve">Tilslutning til pagten:</w:t>
      </w:r>
    </w:p>
    <w:p w14:paraId="66C226D2" w14:textId="77777777" w:rsidR="000D72F3" w:rsidRPr="0059792B" w:rsidRDefault="000D72F3" w:rsidP="000D72F3">
      <w:pPr>
        <w:pStyle w:val="Briefingtext"/>
        <w:numPr>
          <w:ilvl w:val="3"/>
          <w:numId w:val="8"/>
        </w:numPr>
        <w:tabs>
          <w:tab w:val="left" w:pos="-31680"/>
        </w:tabs>
        <w:spacing w:before="120" w:after="0" w:line="276" w:lineRule="auto"/>
        <w:ind w:left="360"/>
        <w:rPr>
          <w14:ligatures w14:val="none"/>
          <w:rFonts w:ascii="EC Square Sans Pro" w:hAnsi="EC Square Sans Pro"/>
        </w:rPr>
      </w:pPr>
      <w:r>
        <w:rPr>
          <w:rFonts w:ascii="EC Square Sans Pro" w:hAnsi="EC Square Sans Pro"/>
        </w:rPr>
        <w:t xml:space="preserve">Alle interessenter, der tilslutter sig pagten, tilslutter sig chartret og dets nøgleprincipper, som de er enige om at respektere og værne om.</w:t>
      </w:r>
      <w:r>
        <w:rPr>
          <w:rFonts w:ascii="EC Square Sans Pro" w:hAnsi="EC Square Sans Pro"/>
        </w:rPr>
        <w:t xml:space="preserve"> </w:t>
      </w:r>
    </w:p>
    <w:p w14:paraId="41583F4C" w14:textId="77777777" w:rsidR="000D72F3" w:rsidRPr="0059792B" w:rsidRDefault="000D72F3" w:rsidP="000D72F3">
      <w:pPr>
        <w:pStyle w:val="Text1"/>
        <w:numPr>
          <w:ilvl w:val="3"/>
          <w:numId w:val="8"/>
        </w:numPr>
        <w:spacing w:before="120" w:after="0" w:line="276" w:lineRule="auto"/>
        <w:ind w:left="360"/>
        <w:rPr>
          <w:sz w:val="22"/>
          <w:szCs w:val="22"/>
          <w:rFonts w:ascii="EC Square Sans Pro" w:hAnsi="EC Square Sans Pro"/>
        </w:rPr>
      </w:pPr>
      <w:r>
        <w:rPr>
          <w:sz w:val="22"/>
          <w:szCs w:val="22"/>
          <w:rFonts w:ascii="EC Square Sans Pro" w:hAnsi="EC Square Sans Pro"/>
        </w:rPr>
        <w:t xml:space="preserve">Underskriverne af pagten opfordres til at omsætte deres engagement til konkrete forpligtelser til opkvalificering og omskoling.</w:t>
      </w:r>
      <w:r>
        <w:rPr>
          <w:sz w:val="22"/>
          <w:szCs w:val="22"/>
          <w:rFonts w:ascii="EC Square Sans Pro" w:hAnsi="EC Square Sans Pro"/>
        </w:rPr>
        <w:t xml:space="preserve"> </w:t>
      </w:r>
      <w:r>
        <w:rPr>
          <w:sz w:val="22"/>
          <w:szCs w:val="22"/>
          <w:rFonts w:ascii="EC Square Sans Pro" w:hAnsi="EC Square Sans Pro"/>
        </w:rPr>
        <w:t xml:space="preserve">Forpligtelserne skal være i overensstemmelse med de centrale principper og kan bygges op omkring en række "katalysatorer", der illustrerer konkrete måder at gennemføre de forskellige principper på.</w:t>
      </w:r>
    </w:p>
    <w:p w14:paraId="71812DDC" w14:textId="77777777" w:rsidR="000D72F3" w:rsidRPr="0059792B" w:rsidRDefault="000D72F3" w:rsidP="000D72F3">
      <w:pPr>
        <w:pStyle w:val="Text1"/>
        <w:numPr>
          <w:ilvl w:val="3"/>
          <w:numId w:val="8"/>
        </w:numPr>
        <w:spacing w:before="120" w:after="0" w:line="276" w:lineRule="auto"/>
        <w:ind w:left="360"/>
        <w:rPr>
          <w:sz w:val="22"/>
          <w:szCs w:val="22"/>
          <w:rFonts w:ascii="EC Square Sans Pro" w:hAnsi="EC Square Sans Pro"/>
        </w:rPr>
      </w:pPr>
      <w:r>
        <w:rPr>
          <w:sz w:val="22"/>
          <w:szCs w:val="22"/>
          <w:rFonts w:ascii="EC Square Sans Pro" w:hAnsi="EC Square Sans Pro"/>
        </w:rPr>
        <w:t xml:space="preserve">Forpligtelserne overvåges ved hjælp af mindst én central resultatindikator, f.eks. antallet af personer, der deltager i opkvalificering eller omskoling.</w:t>
      </w:r>
    </w:p>
    <w:p w14:paraId="03C9364E" w14:textId="77777777" w:rsidR="000D72F3" w:rsidRPr="0059792B" w:rsidRDefault="000D72F3" w:rsidP="000D72F3">
      <w:pPr>
        <w:widowControl w:val="0"/>
        <w:rPr>
          <w:b/>
          <w:sz w:val="22"/>
          <w:szCs w:val="22"/>
          <w:rFonts w:ascii="EC Square Sans Pro" w:hAnsi="EC Square Sans Pro" w:cs="Calibri"/>
        </w:rPr>
      </w:pPr>
      <w:r>
        <w:rPr>
          <w:b/>
          <w:sz w:val="22"/>
          <w:szCs w:val="22"/>
          <w:rFonts w:ascii="Calibri" w:hAnsi="Calibri"/>
        </w:rPr>
        <w:t xml:space="preserve"> </w:t>
      </w:r>
      <w:r>
        <w:rPr>
          <w:b/>
          <w:sz w:val="22"/>
          <w:szCs w:val="22"/>
          <w:rFonts w:ascii="EC Square Sans Pro" w:hAnsi="EC Square Sans Pro"/>
        </w:rPr>
        <w:t xml:space="preserve">Chartrets centrale principper:</w:t>
      </w:r>
    </w:p>
    <w:p w14:paraId="5934F8AB" w14:textId="77777777" w:rsidR="000D72F3" w:rsidRPr="0059792B" w:rsidRDefault="000D72F3" w:rsidP="000D72F3">
      <w:pPr>
        <w:pStyle w:val="Text1"/>
        <w:numPr>
          <w:ilvl w:val="0"/>
          <w:numId w:val="9"/>
        </w:numPr>
        <w:spacing w:before="120" w:after="0" w:line="276" w:lineRule="auto"/>
        <w:rPr>
          <w:sz w:val="22"/>
          <w:szCs w:val="22"/>
          <w:rFonts w:ascii="EC Square Sans Pro" w:hAnsi="EC Square Sans Pro"/>
        </w:rPr>
      </w:pPr>
      <w:r>
        <w:rPr>
          <w:sz w:val="22"/>
          <w:szCs w:val="22"/>
          <w:rFonts w:ascii="EC Square Sans Pro" w:hAnsi="EC Square Sans Pro"/>
        </w:rPr>
        <w:t xml:space="preserve">fremme af en kultur med livslang læring for alle</w:t>
      </w:r>
    </w:p>
    <w:p w14:paraId="6034AA03" w14:textId="77777777" w:rsidR="000D72F3" w:rsidRPr="0059792B" w:rsidRDefault="000D72F3" w:rsidP="000D72F3">
      <w:pPr>
        <w:pStyle w:val="Text1"/>
        <w:numPr>
          <w:ilvl w:val="0"/>
          <w:numId w:val="9"/>
        </w:numPr>
        <w:spacing w:after="0" w:line="276" w:lineRule="auto"/>
        <w:rPr>
          <w:sz w:val="22"/>
          <w:szCs w:val="22"/>
          <w:rFonts w:ascii="EC Square Sans Pro" w:hAnsi="EC Square Sans Pro"/>
        </w:rPr>
      </w:pPr>
      <w:r>
        <w:rPr>
          <w:sz w:val="22"/>
          <w:szCs w:val="22"/>
          <w:rFonts w:ascii="EC Square Sans Pro" w:hAnsi="EC Square Sans Pro"/>
        </w:rPr>
        <w:t xml:space="preserve">opbygning af stærke kompetencepartnerskaber</w:t>
      </w:r>
    </w:p>
    <w:p w14:paraId="5F6B1286" w14:textId="77777777" w:rsidR="000D72F3" w:rsidRPr="0059792B" w:rsidRDefault="000D72F3" w:rsidP="000D72F3">
      <w:pPr>
        <w:pStyle w:val="Text1"/>
        <w:numPr>
          <w:ilvl w:val="0"/>
          <w:numId w:val="9"/>
        </w:numPr>
        <w:spacing w:after="0" w:line="276" w:lineRule="auto"/>
        <w:rPr>
          <w:sz w:val="22"/>
          <w:szCs w:val="22"/>
          <w:rFonts w:ascii="EC Square Sans Pro" w:hAnsi="EC Square Sans Pro"/>
        </w:rPr>
      </w:pPr>
      <w:r>
        <w:rPr>
          <w:sz w:val="22"/>
          <w:szCs w:val="22"/>
          <w:rFonts w:ascii="EC Square Sans Pro" w:hAnsi="EC Square Sans Pro"/>
        </w:rPr>
        <w:t xml:space="preserve">overvågning af udbuddet af og efterspørgslen efter kompetencer og foregribelse af kompetencebehov</w:t>
      </w:r>
    </w:p>
    <w:p w14:paraId="29B28BED" w14:textId="77777777" w:rsidR="000D72F3" w:rsidRPr="0059792B" w:rsidRDefault="000D72F3" w:rsidP="000D72F3">
      <w:pPr>
        <w:pStyle w:val="Text1"/>
        <w:numPr>
          <w:ilvl w:val="0"/>
          <w:numId w:val="9"/>
        </w:numPr>
        <w:spacing w:after="0" w:line="276" w:lineRule="auto"/>
        <w:rPr>
          <w:sz w:val="22"/>
          <w:szCs w:val="22"/>
          <w:rFonts w:ascii="EC Square Sans Pro" w:hAnsi="EC Square Sans Pro"/>
        </w:rPr>
      </w:pPr>
      <w:r>
        <w:rPr>
          <w:sz w:val="22"/>
          <w:szCs w:val="22"/>
          <w:rFonts w:ascii="EC Square Sans Pro" w:hAnsi="EC Square Sans Pro"/>
        </w:rPr>
        <w:t xml:space="preserve">bekæmpelse af forskelsbehandling og fremme af ligestilling mellem kønnene og lige muligheder.</w:t>
      </w:r>
    </w:p>
    <w:p w14:paraId="41AED67E" w14:textId="77777777" w:rsidR="000D72F3" w:rsidRPr="0059792B" w:rsidRDefault="000D72F3" w:rsidP="000D72F3">
      <w:pPr>
        <w:widowControl w:val="0"/>
        <w:rPr>
          <w:b/>
          <w:sz w:val="22"/>
          <w:szCs w:val="22"/>
          <w:rFonts w:ascii="EC Square Sans Pro" w:hAnsi="EC Square Sans Pro" w:cs="Calibri"/>
        </w:rPr>
      </w:pPr>
      <w:r>
        <w:rPr>
          <w:b/>
          <w:sz w:val="22"/>
          <w:szCs w:val="22"/>
          <w:rFonts w:ascii="EC Square Sans Pro" w:hAnsi="EC Square Sans Pro"/>
        </w:rPr>
        <w:t xml:space="preserve">Pagten kan gennemføres af:</w:t>
      </w:r>
    </w:p>
    <w:p w14:paraId="6B677FFB" w14:textId="77777777" w:rsidR="000D72F3" w:rsidRPr="0059792B" w:rsidRDefault="000D72F3" w:rsidP="000D72F3">
      <w:pPr>
        <w:pStyle w:val="Text1"/>
        <w:numPr>
          <w:ilvl w:val="0"/>
          <w:numId w:val="10"/>
        </w:numPr>
        <w:spacing w:before="120" w:after="0" w:line="276" w:lineRule="auto"/>
        <w:rPr>
          <w:sz w:val="22"/>
          <w:szCs w:val="22"/>
          <w:rFonts w:ascii="EC Square Sans Pro" w:hAnsi="EC Square Sans Pro"/>
        </w:rPr>
      </w:pPr>
      <w:r>
        <w:rPr>
          <w:sz w:val="22"/>
          <w:szCs w:val="22"/>
          <w:rFonts w:ascii="EC Square Sans Pro" w:hAnsi="EC Square Sans Pro"/>
        </w:rPr>
        <w:t xml:space="preserve">individuelle virksomheder eller andre private eller offentlige organisationer</w:t>
      </w:r>
    </w:p>
    <w:p w14:paraId="7CA5A2B6" w14:textId="77777777" w:rsidR="000D72F3" w:rsidRPr="0059792B" w:rsidRDefault="000D72F3" w:rsidP="000D72F3">
      <w:pPr>
        <w:pStyle w:val="Text1"/>
        <w:numPr>
          <w:ilvl w:val="0"/>
          <w:numId w:val="10"/>
        </w:numPr>
        <w:spacing w:after="0" w:line="276" w:lineRule="auto"/>
        <w:rPr>
          <w:sz w:val="22"/>
          <w:szCs w:val="22"/>
          <w:rFonts w:ascii="EC Square Sans Pro" w:hAnsi="EC Square Sans Pro"/>
        </w:rPr>
      </w:pPr>
      <w:r>
        <w:rPr>
          <w:sz w:val="22"/>
          <w:szCs w:val="22"/>
          <w:rFonts w:ascii="EC Square Sans Pro" w:hAnsi="EC Square Sans Pro"/>
        </w:rPr>
        <w:t xml:space="preserve">regionale eller lokale partnerskaber</w:t>
      </w:r>
    </w:p>
    <w:p w14:paraId="79601AEC" w14:textId="77777777" w:rsidR="000D72F3" w:rsidRPr="0059792B" w:rsidRDefault="000D72F3" w:rsidP="000D72F3">
      <w:pPr>
        <w:pStyle w:val="Text1"/>
        <w:numPr>
          <w:ilvl w:val="0"/>
          <w:numId w:val="10"/>
        </w:numPr>
        <w:spacing w:after="0" w:line="276" w:lineRule="auto"/>
        <w:rPr>
          <w:sz w:val="22"/>
          <w:szCs w:val="22"/>
          <w:rFonts w:ascii="EC Square Sans Pro" w:hAnsi="EC Square Sans Pro"/>
        </w:rPr>
      </w:pPr>
      <w:r>
        <w:rPr>
          <w:sz w:val="22"/>
          <w:szCs w:val="22"/>
          <w:rFonts w:ascii="EC Square Sans Pro" w:hAnsi="EC Square Sans Pro"/>
        </w:rPr>
        <w:t xml:space="preserve">industrielle eller tværsektorielle partnerskaber.</w:t>
      </w:r>
    </w:p>
    <w:p w14:paraId="76F5C4D8" w14:textId="77777777" w:rsidR="000D72F3" w:rsidRPr="0059792B" w:rsidRDefault="000D72F3" w:rsidP="000D72F3">
      <w:pPr>
        <w:pStyle w:val="Text1"/>
        <w:spacing w:before="120" w:after="0" w:line="276" w:lineRule="auto"/>
        <w:ind w:left="0"/>
        <w:rPr>
          <w:sz w:val="22"/>
          <w:szCs w:val="22"/>
          <w:rFonts w:ascii="EC Square Sans Pro" w:hAnsi="EC Square Sans Pro"/>
        </w:rPr>
      </w:pPr>
      <w:r>
        <w:rPr>
          <w:b/>
          <w:sz w:val="22"/>
          <w:szCs w:val="22"/>
          <w:rFonts w:ascii="EC Square Sans Pro" w:hAnsi="EC Square Sans Pro"/>
        </w:rPr>
        <w:t xml:space="preserve">Støtte under pagten:</w:t>
      </w:r>
    </w:p>
    <w:p w14:paraId="4D8D8F13" w14:textId="77777777" w:rsidR="000D72F3" w:rsidRPr="0059792B" w:rsidRDefault="000D72F3" w:rsidP="000D72F3">
      <w:pPr>
        <w:pStyle w:val="Text1"/>
        <w:spacing w:before="120" w:line="276" w:lineRule="auto"/>
        <w:ind w:left="0"/>
        <w:rPr>
          <w:bCs/>
          <w:sz w:val="22"/>
          <w:szCs w:val="22"/>
          <w:rFonts w:ascii="EC Square Sans Pro" w:hAnsi="EC Square Sans Pro" w:cs="Calibri"/>
        </w:rPr>
      </w:pPr>
      <w:r>
        <w:rPr>
          <w:bCs/>
          <w:sz w:val="22"/>
          <w:szCs w:val="22"/>
          <w:rFonts w:ascii="EC Square Sans Pro" w:hAnsi="EC Square Sans Pro"/>
        </w:rPr>
        <w:t xml:space="preserve">Fra 2021 vil Kommissionen støtte underskriverne af pagten gennem særlige tjenester:</w:t>
      </w:r>
    </w:p>
    <w:p w14:paraId="4AB6A870" w14:textId="77777777" w:rsidR="000D72F3" w:rsidRPr="0059792B" w:rsidRDefault="000D72F3" w:rsidP="000D72F3">
      <w:pPr>
        <w:pStyle w:val="Text1"/>
        <w:numPr>
          <w:ilvl w:val="0"/>
          <w:numId w:val="11"/>
        </w:numPr>
        <w:spacing w:before="120" w:after="0" w:line="276" w:lineRule="auto"/>
        <w:rPr>
          <w:bCs/>
          <w:sz w:val="22"/>
          <w:szCs w:val="22"/>
          <w:rFonts w:ascii="EC Square Sans Pro" w:hAnsi="EC Square Sans Pro" w:cs="Calibri"/>
        </w:rPr>
      </w:pPr>
      <w:r>
        <w:rPr>
          <w:sz w:val="22"/>
          <w:szCs w:val="22"/>
          <w:b/>
          <w:rFonts w:ascii="EC Square Sans Pro" w:hAnsi="EC Square Sans Pro"/>
        </w:rPr>
        <w:t xml:space="preserve">Center</w:t>
      </w:r>
      <w:r>
        <w:rPr>
          <w:sz w:val="22"/>
          <w:szCs w:val="22"/>
          <w:b/>
          <w:bCs/>
          <w:rFonts w:ascii="EC Square Sans Pro" w:hAnsi="EC Square Sans Pro"/>
        </w:rPr>
        <w:t xml:space="preserve"> for netværkssamarbejde</w:t>
      </w:r>
      <w:r>
        <w:rPr>
          <w:sz w:val="22"/>
          <w:szCs w:val="22"/>
          <w:bCs/>
          <w:rFonts w:ascii="EC Square Sans Pro" w:hAnsi="EC Square Sans Pro"/>
        </w:rPr>
        <w:t xml:space="preserve">, herunder:</w:t>
      </w:r>
      <w:r>
        <w:rPr>
          <w:sz w:val="22"/>
          <w:szCs w:val="22"/>
          <w:bCs/>
          <w:rFonts w:ascii="EC Square Sans Pro" w:hAnsi="EC Square Sans Pro"/>
        </w:rPr>
        <w:t xml:space="preserve"> </w:t>
      </w:r>
      <w:r>
        <w:rPr>
          <w:sz w:val="22"/>
          <w:szCs w:val="22"/>
          <w:bCs/>
          <w:rFonts w:ascii="EC Square Sans Pro" w:hAnsi="EC Square Sans Pro"/>
        </w:rPr>
        <w:t xml:space="preserve">støtte til at finde partnere og de første møder i partnerskaberne</w:t>
      </w:r>
      <w:r>
        <w:rPr>
          <w:sz w:val="22"/>
          <w:szCs w:val="22"/>
          <w:bCs/>
          <w:rFonts w:ascii="EC Square Sans Pro" w:hAnsi="EC Square Sans Pro"/>
        </w:rPr>
        <w:t xml:space="preserve"> </w:t>
      </w:r>
      <w:r>
        <w:rPr>
          <w:sz w:val="22"/>
          <w:szCs w:val="22"/>
          <w:bCs/>
          <w:rFonts w:ascii="EC Square Sans Pro" w:hAnsi="EC Square Sans Pro"/>
        </w:rPr>
        <w:t xml:space="preserve">sammenkobling med eksisterende EU-værktøjer, f.eks. Europass, EU-oversigten over kvalifikationer, EURES og netværket af offentlige arbejdsformidlinger</w:t>
      </w:r>
      <w:r>
        <w:rPr>
          <w:sz w:val="22"/>
          <w:szCs w:val="22"/>
          <w:bCs/>
          <w:rFonts w:ascii="EC Square Sans Pro" w:hAnsi="EC Square Sans Pro"/>
        </w:rPr>
        <w:t xml:space="preserve"> </w:t>
      </w:r>
      <w:r>
        <w:rPr>
          <w:sz w:val="22"/>
          <w:szCs w:val="22"/>
          <w:bCs/>
          <w:rFonts w:ascii="EC Square Sans Pro" w:hAnsi="EC Square Sans Pro"/>
        </w:rPr>
        <w:t xml:space="preserve">fremme af pagtmedlemmernes aktiviteter.</w:t>
      </w:r>
    </w:p>
    <w:p w14:paraId="5C68B70A" w14:textId="77777777" w:rsidR="000D72F3" w:rsidRPr="0059792B" w:rsidRDefault="000D72F3" w:rsidP="000D72F3">
      <w:pPr>
        <w:pStyle w:val="Text1"/>
        <w:numPr>
          <w:ilvl w:val="0"/>
          <w:numId w:val="11"/>
        </w:numPr>
        <w:spacing w:before="120" w:after="0" w:line="276" w:lineRule="auto"/>
        <w:rPr>
          <w:bCs/>
          <w:sz w:val="22"/>
          <w:szCs w:val="22"/>
          <w:rFonts w:ascii="EC Square Sans Pro" w:hAnsi="EC Square Sans Pro" w:cs="Calibri"/>
        </w:rPr>
      </w:pPr>
      <w:r>
        <w:rPr>
          <w:sz w:val="22"/>
          <w:szCs w:val="22"/>
          <w:b/>
          <w:rFonts w:ascii="EC Square Sans Pro" w:hAnsi="EC Square Sans Pro"/>
        </w:rPr>
        <w:t xml:space="preserve">Viden</w:t>
      </w:r>
      <w:r>
        <w:rPr>
          <w:sz w:val="22"/>
          <w:szCs w:val="22"/>
          <w:b/>
          <w:bCs/>
          <w:rFonts w:ascii="EC Square Sans Pro" w:hAnsi="EC Square Sans Pro"/>
        </w:rPr>
        <w:t xml:space="preserve">center</w:t>
      </w:r>
      <w:r>
        <w:rPr>
          <w:sz w:val="22"/>
          <w:szCs w:val="22"/>
          <w:bCs/>
          <w:rFonts w:ascii="EC Square Sans Pro" w:hAnsi="EC Square Sans Pro"/>
        </w:rPr>
        <w:t xml:space="preserve">, herunder:</w:t>
      </w:r>
      <w:r>
        <w:rPr>
          <w:sz w:val="22"/>
          <w:szCs w:val="22"/>
          <w:bCs/>
          <w:rFonts w:ascii="EC Square Sans Pro" w:hAnsi="EC Square Sans Pro"/>
        </w:rPr>
        <w:t xml:space="preserve"> </w:t>
      </w:r>
      <w:r>
        <w:rPr>
          <w:sz w:val="22"/>
          <w:szCs w:val="22"/>
          <w:bCs/>
          <w:rFonts w:ascii="EC Square Sans Pro" w:hAnsi="EC Square Sans Pro"/>
        </w:rPr>
        <w:t xml:space="preserve">webinarer, seminarer og peerlæringsaktiviteter</w:t>
      </w:r>
      <w:r>
        <w:rPr>
          <w:sz w:val="22"/>
          <w:szCs w:val="22"/>
          <w:bCs/>
          <w:rFonts w:ascii="EC Square Sans Pro" w:hAnsi="EC Square Sans Pro"/>
        </w:rPr>
        <w:t xml:space="preserve"> </w:t>
      </w:r>
      <w:r>
        <w:rPr>
          <w:sz w:val="22"/>
          <w:szCs w:val="22"/>
          <w:bCs/>
          <w:rFonts w:ascii="EC Square Sans Pro" w:hAnsi="EC Square Sans Pro"/>
        </w:rPr>
        <w:t xml:space="preserve">opdateringer om EU's politikker og instrumenter</w:t>
      </w:r>
      <w:r>
        <w:rPr>
          <w:sz w:val="22"/>
          <w:szCs w:val="22"/>
          <w:bCs/>
          <w:rFonts w:ascii="EC Square Sans Pro" w:hAnsi="EC Square Sans Pro"/>
        </w:rPr>
        <w:t xml:space="preserve"> </w:t>
      </w:r>
      <w:r>
        <w:rPr>
          <w:sz w:val="22"/>
          <w:szCs w:val="22"/>
          <w:bCs/>
          <w:rFonts w:ascii="EC Square Sans Pro" w:hAnsi="EC Square Sans Pro"/>
        </w:rPr>
        <w:t xml:space="preserve">oplysninger om projekter, værktøjer, instrumenter og bedste praksis.</w:t>
      </w:r>
    </w:p>
    <w:p w14:paraId="3842D91E" w14:textId="77777777" w:rsidR="000D72F3" w:rsidRPr="0059792B" w:rsidRDefault="000D72F3" w:rsidP="000D72F3">
      <w:pPr>
        <w:pStyle w:val="Text1"/>
        <w:numPr>
          <w:ilvl w:val="0"/>
          <w:numId w:val="11"/>
        </w:numPr>
        <w:spacing w:before="120" w:after="0" w:line="276" w:lineRule="auto"/>
        <w:rPr>
          <w:bCs/>
          <w:sz w:val="22"/>
          <w:szCs w:val="22"/>
          <w:rFonts w:ascii="EC Square Sans Pro" w:hAnsi="EC Square Sans Pro" w:cs="Calibri"/>
        </w:rPr>
      </w:pPr>
      <w:r>
        <w:rPr>
          <w:sz w:val="22"/>
          <w:szCs w:val="22"/>
          <w:b/>
          <w:rFonts w:ascii="EC Square Sans Pro" w:hAnsi="EC Square Sans Pro"/>
        </w:rPr>
        <w:t xml:space="preserve">Center</w:t>
      </w:r>
      <w:r>
        <w:rPr>
          <w:sz w:val="22"/>
          <w:szCs w:val="22"/>
          <w:b/>
          <w:bCs/>
          <w:rFonts w:ascii="EC Square Sans Pro" w:hAnsi="EC Square Sans Pro"/>
        </w:rPr>
        <w:t xml:space="preserve"> for vejledning og ressourcer</w:t>
      </w:r>
      <w:r>
        <w:rPr>
          <w:sz w:val="22"/>
          <w:szCs w:val="22"/>
          <w:bCs/>
          <w:rFonts w:ascii="EC Square Sans Pro" w:hAnsi="EC Square Sans Pro"/>
        </w:rPr>
        <w:t xml:space="preserve">, herunder:</w:t>
      </w:r>
      <w:r>
        <w:rPr>
          <w:sz w:val="22"/>
          <w:szCs w:val="22"/>
          <w:bCs/>
          <w:rFonts w:ascii="EC Square Sans Pro" w:hAnsi="EC Square Sans Pro"/>
        </w:rPr>
        <w:t xml:space="preserve"> </w:t>
      </w:r>
      <w:r>
        <w:rPr>
          <w:sz w:val="22"/>
          <w:szCs w:val="22"/>
          <w:bCs/>
          <w:rFonts w:ascii="EC Square Sans Pro" w:hAnsi="EC Square Sans Pro"/>
        </w:rPr>
        <w:t xml:space="preserve">adgang til oplysninger om relevant EU-finansiering</w:t>
      </w:r>
      <w:r>
        <w:rPr>
          <w:sz w:val="22"/>
          <w:szCs w:val="22"/>
          <w:bCs/>
          <w:rFonts w:ascii="EC Square Sans Pro" w:hAnsi="EC Square Sans Pro"/>
        </w:rPr>
        <w:t xml:space="preserve"> </w:t>
      </w:r>
      <w:r>
        <w:rPr>
          <w:sz w:val="22"/>
          <w:szCs w:val="22"/>
          <w:bCs/>
          <w:rFonts w:ascii="EC Square Sans Pro" w:hAnsi="EC Square Sans Pro"/>
        </w:rPr>
        <w:t xml:space="preserve">vejledning med henblik på at identificere finansielle muligheder</w:t>
      </w:r>
      <w:r>
        <w:rPr>
          <w:sz w:val="22"/>
          <w:szCs w:val="22"/>
          <w:bCs/>
          <w:rFonts w:ascii="EC Square Sans Pro" w:hAnsi="EC Square Sans Pro"/>
        </w:rPr>
        <w:t xml:space="preserve"> </w:t>
      </w:r>
      <w:r>
        <w:rPr>
          <w:sz w:val="22"/>
          <w:szCs w:val="22"/>
          <w:bCs/>
          <w:rFonts w:ascii="EC Square Sans Pro" w:hAnsi="EC Square Sans Pro"/>
        </w:rPr>
        <w:t xml:space="preserve">fremme af udvekslinger mellem pagtens medlemmer og nationale/regionale myndigheder.</w:t>
      </w:r>
    </w:p>
    <w:p w14:paraId="77902F9C" w14:textId="77777777" w:rsidR="000D72F3" w:rsidRPr="00007FB5" w:rsidRDefault="000D72F3" w:rsidP="000D72F3">
      <w:pPr>
        <w:pStyle w:val="Text1"/>
        <w:spacing w:before="120" w:after="0" w:line="276" w:lineRule="auto"/>
        <w:ind w:left="0" w:right="113"/>
        <w:rPr>
          <w:sz w:val="22"/>
          <w:szCs w:val="22"/>
          <w:rFonts w:ascii="EC Square Sans Pro" w:hAnsi="EC Square Sans Pro" w:cstheme="minorHAnsi"/>
        </w:rPr>
      </w:pPr>
      <w:r>
        <w:rPr>
          <w:bCs/>
          <w:sz w:val="22"/>
          <w:szCs w:val="22"/>
          <w:rFonts w:ascii="EC Square Sans Pro" w:hAnsi="EC Square Sans Pro"/>
        </w:rPr>
        <w:t xml:space="preserve">Overordnet EU-finansiering, dvs. genopretnings- og resiliensfaciliteten og de relevante finansieringsinstrumenter under den flerårige finansielle ramme for</w:t>
      </w:r>
      <w:r>
        <w:t xml:space="preserve"> </w:t>
      </w:r>
      <w:r>
        <w:rPr>
          <w:bCs/>
          <w:sz w:val="22"/>
          <w:szCs w:val="22"/>
          <w:rFonts w:ascii="EC Square Sans Pro" w:hAnsi="EC Square Sans Pro"/>
        </w:rPr>
        <w:t xml:space="preserve">2021-2027</w:t>
      </w:r>
      <w:r w:rsidRPr="0059792B">
        <w:rPr>
          <w:rStyle w:val="FootnoteReference"/>
          <w:rFonts w:ascii="EC Square Sans Pro" w:hAnsi="EC Square Sans Pro" w:cs="Calibri"/>
          <w:bCs/>
          <w:sz w:val="22"/>
          <w:szCs w:val="22"/>
        </w:rPr>
        <w:footnoteReference w:id="2"/>
      </w:r>
      <w:r>
        <w:rPr>
          <w:bCs/>
          <w:sz w:val="22"/>
          <w:szCs w:val="22"/>
          <w:rFonts w:ascii="EC Square Sans Pro" w:hAnsi="EC Square Sans Pro"/>
        </w:rPr>
        <w:t xml:space="preserve">, kan støtte pagten og bør anvendes fuldt ud.</w:t>
      </w:r>
    </w:p>
    <w:p w14:paraId="3491745F" w14:textId="77777777" w:rsidR="000D72F3" w:rsidRDefault="000D72F3">
      <w:pPr>
        <w:spacing w:before="0" w:after="0"/>
        <w:jc w:val="left"/>
        <w:rPr>
          <w:b/>
          <w:sz w:val="28"/>
          <w:szCs w:val="28"/>
          <w:rFonts w:ascii="EC Square Sans Pro" w:hAnsi="EC Square Sans Pro" w:cstheme="minorHAnsi"/>
        </w:rPr>
      </w:pPr>
      <w:r>
        <w:br w:type="page"/>
      </w:r>
    </w:p>
    <w:p w14:paraId="2A1561AC" w14:textId="4BA50737" w:rsidR="000D72F3" w:rsidRDefault="000D72F3" w:rsidP="000D72F3">
      <w:pPr>
        <w:pStyle w:val="Text1"/>
        <w:spacing w:before="120" w:after="0" w:line="276" w:lineRule="auto"/>
        <w:ind w:left="0"/>
        <w:jc w:val="center"/>
        <w:rPr>
          <w:b/>
          <w:sz w:val="28"/>
          <w:szCs w:val="28"/>
          <w:rFonts w:ascii="EC Square Sans Pro" w:hAnsi="EC Square Sans Pro" w:cstheme="minorHAnsi"/>
        </w:rPr>
      </w:pPr>
      <w:r>
        <w:rPr>
          <w:b/>
          <w:sz w:val="28"/>
          <w:szCs w:val="28"/>
          <w:rFonts w:ascii="EC Square Sans Pro" w:hAnsi="EC Square Sans Pro"/>
        </w:rPr>
        <w:t xml:space="preserve">CHARTER</w:t>
      </w:r>
    </w:p>
    <w:p w14:paraId="1C6F0AF6" w14:textId="1C920D4F" w:rsidR="002E3766" w:rsidRPr="0059792B" w:rsidRDefault="00C82E8D" w:rsidP="00610108">
      <w:pPr>
        <w:pStyle w:val="Text1"/>
        <w:spacing w:before="120" w:after="0" w:line="276" w:lineRule="auto"/>
        <w:ind w:left="0"/>
        <w:rPr>
          <w:b/>
          <w:sz w:val="28"/>
          <w:szCs w:val="28"/>
          <w:rFonts w:ascii="EC Square Sans Pro" w:hAnsi="EC Square Sans Pro" w:cstheme="minorHAnsi"/>
        </w:rPr>
      </w:pPr>
      <w:r>
        <w:rPr>
          <w:b/>
          <w:sz w:val="28"/>
          <w:szCs w:val="28"/>
          <w:rFonts w:ascii="EC Square Sans Pro" w:hAnsi="EC Square Sans Pro"/>
        </w:rPr>
        <w:t xml:space="preserve">PRÆAMBEL</w:t>
      </w:r>
    </w:p>
    <w:p w14:paraId="1E55824E" w14:textId="2680106D" w:rsidR="001A1133" w:rsidRDefault="001A1133" w:rsidP="00610108">
      <w:pPr>
        <w:pStyle w:val="Text1"/>
        <w:spacing w:before="120" w:after="0" w:line="276" w:lineRule="auto"/>
        <w:ind w:left="0"/>
        <w:rPr>
          <w:ins w:id="1" w:author="Author"/>
          <w:sz w:val="22"/>
          <w:szCs w:val="22"/>
          <w:rFonts w:ascii="EC Square Sans Pro" w:hAnsi="EC Square Sans Pro" w:cstheme="minorHAnsi"/>
        </w:rPr>
      </w:pPr>
      <w:r>
        <w:rPr>
          <w:sz w:val="22"/>
          <w:szCs w:val="22"/>
          <w:rFonts w:ascii="EC Square Sans Pro" w:hAnsi="EC Square Sans Pro"/>
        </w:rPr>
        <w:t xml:space="preserve">Under henvisning til </w:t>
      </w:r>
      <w:r>
        <w:rPr>
          <w:sz w:val="22"/>
          <w:szCs w:val="22"/>
          <w:b/>
          <w:rFonts w:ascii="EC Square Sans Pro" w:hAnsi="EC Square Sans Pro"/>
        </w:rPr>
        <w:t xml:space="preserve">den europæiske søjle for sociale rettigheder</w:t>
      </w:r>
      <w:r>
        <w:rPr>
          <w:sz w:val="22"/>
          <w:szCs w:val="22"/>
          <w:rFonts w:ascii="EC Square Sans Pro" w:hAnsi="EC Square Sans Pro"/>
        </w:rPr>
        <w:t xml:space="preserve">, som er EU's kompas for en social og inklusiv genopretning og for retfærdige omstillinger til klimaneutralitet og et digitalt Europa,</w:t>
      </w:r>
    </w:p>
    <w:p w14:paraId="5E808EE4" w14:textId="402D9D56" w:rsidR="00F17B01" w:rsidRPr="0059792B" w:rsidRDefault="0034151C" w:rsidP="00610108">
      <w:pPr>
        <w:pStyle w:val="Text1"/>
        <w:spacing w:before="120" w:after="0" w:line="276" w:lineRule="auto"/>
        <w:ind w:left="0"/>
        <w:rPr>
          <w:sz w:val="22"/>
          <w:szCs w:val="22"/>
          <w:rFonts w:ascii="EC Square Sans Pro" w:hAnsi="EC Square Sans Pro" w:cstheme="minorHAnsi"/>
        </w:rPr>
      </w:pPr>
      <w:r>
        <w:rPr>
          <w:sz w:val="22"/>
          <w:szCs w:val="22"/>
          <w:rFonts w:ascii="EC Square Sans Pro" w:hAnsi="EC Square Sans Pro"/>
        </w:rPr>
        <w:t xml:space="preserve">under erkendelse af, at nutidens og fremtidens</w:t>
      </w:r>
      <w:r>
        <w:rPr>
          <w:sz w:val="22"/>
          <w:szCs w:val="22"/>
          <w:b/>
          <w:rFonts w:ascii="EC Square Sans Pro" w:hAnsi="EC Square Sans Pro"/>
        </w:rPr>
        <w:t xml:space="preserve"> digitale økonomi</w:t>
      </w:r>
      <w:r>
        <w:rPr>
          <w:sz w:val="22"/>
          <w:szCs w:val="22"/>
          <w:rFonts w:ascii="EC Square Sans Pro" w:hAnsi="EC Square Sans Pro"/>
        </w:rPr>
        <w:t xml:space="preserve"> skal have mennesker i centrum,</w:t>
      </w:r>
    </w:p>
    <w:p w14:paraId="133317F9" w14:textId="2DF09309" w:rsidR="00F17B01" w:rsidRPr="0059792B" w:rsidRDefault="00F17B01" w:rsidP="00610108">
      <w:pPr>
        <w:pStyle w:val="Text1"/>
        <w:spacing w:before="120" w:after="0" w:line="276" w:lineRule="auto"/>
        <w:ind w:left="0"/>
        <w:rPr>
          <w:sz w:val="22"/>
          <w:szCs w:val="22"/>
          <w:rFonts w:ascii="EC Square Sans Pro" w:hAnsi="EC Square Sans Pro" w:cstheme="minorHAnsi"/>
        </w:rPr>
      </w:pPr>
      <w:r>
        <w:rPr>
          <w:sz w:val="22"/>
          <w:szCs w:val="22"/>
          <w:rFonts w:ascii="EC Square Sans Pro" w:hAnsi="EC Square Sans Pro"/>
        </w:rPr>
        <w:t xml:space="preserve">hvor der mindes om, at Europa med den europæiske grønne pagt har givet udtryk for sin ambition om at blive det første klimaneutrale kontinent senest i 2050,</w:t>
      </w:r>
    </w:p>
    <w:p w14:paraId="4EF65972" w14:textId="7A984839" w:rsidR="00F17B01" w:rsidRPr="0059792B" w:rsidRDefault="00F17B01" w:rsidP="00610108">
      <w:pPr>
        <w:pStyle w:val="Text1"/>
        <w:spacing w:before="120" w:after="0" w:line="276" w:lineRule="auto"/>
        <w:ind w:left="0"/>
        <w:rPr>
          <w:sz w:val="22"/>
          <w:szCs w:val="22"/>
          <w:rFonts w:ascii="EC Square Sans Pro" w:hAnsi="EC Square Sans Pro" w:cstheme="minorHAnsi"/>
        </w:rPr>
      </w:pPr>
      <w:r>
        <w:rPr>
          <w:sz w:val="22"/>
          <w:szCs w:val="22"/>
          <w:rFonts w:ascii="EC Square Sans Pro" w:hAnsi="EC Square Sans Pro"/>
        </w:rPr>
        <w:t xml:space="preserve">med støtte til de </w:t>
      </w:r>
      <w:r>
        <w:rPr>
          <w:sz w:val="22"/>
          <w:szCs w:val="22"/>
          <w:b/>
          <w:rFonts w:ascii="EC Square Sans Pro" w:hAnsi="EC Square Sans Pro"/>
        </w:rPr>
        <w:t xml:space="preserve">industrielle strategier og SMV-strategierne</w:t>
      </w:r>
      <w:r>
        <w:rPr>
          <w:sz w:val="22"/>
          <w:szCs w:val="22"/>
          <w:rFonts w:ascii="EC Square Sans Pro" w:hAnsi="EC Square Sans Pro"/>
        </w:rPr>
        <w:t xml:space="preserve"> med stærk forankring i det indre marked, der sætter virksomhederne i stand til at innovere og udvikle nye teknologier, fremme cirkularitet og skabe nye markeder,</w:t>
      </w:r>
    </w:p>
    <w:p w14:paraId="04E5A792" w14:textId="77777777" w:rsidR="00DB3BD1" w:rsidRPr="0059792B" w:rsidRDefault="00DB3BD1" w:rsidP="00DB3BD1">
      <w:pPr>
        <w:pStyle w:val="Text1"/>
        <w:spacing w:before="120" w:after="0" w:line="276" w:lineRule="auto"/>
        <w:ind w:left="0"/>
        <w:rPr>
          <w:sz w:val="22"/>
          <w:szCs w:val="22"/>
          <w:rFonts w:ascii="EC Square Sans Pro" w:hAnsi="EC Square Sans Pro" w:cstheme="minorHAnsi"/>
        </w:rPr>
      </w:pPr>
      <w:r>
        <w:rPr>
          <w:sz w:val="22"/>
          <w:szCs w:val="22"/>
          <w:rFonts w:ascii="EC Square Sans Pro" w:hAnsi="EC Square Sans Pro"/>
        </w:rPr>
        <w:t xml:space="preserve">med en stærk overbevisning om, at færdigheder er afgørende for, at både mennesker og virksomheder kan åbne op for muligheder for flere og bedre job, samt vækst og konkurrenceevne som fastsat i </w:t>
      </w:r>
      <w:r>
        <w:rPr>
          <w:sz w:val="22"/>
          <w:szCs w:val="22"/>
          <w:b/>
          <w:rFonts w:ascii="EC Square Sans Pro" w:hAnsi="EC Square Sans Pro"/>
        </w:rPr>
        <w:t xml:space="preserve">den europæiske dagsorden for færdigheder</w:t>
      </w:r>
      <w:r>
        <w:rPr>
          <w:sz w:val="22"/>
          <w:szCs w:val="22"/>
          <w:rFonts w:ascii="EC Square Sans Pro" w:hAnsi="EC Square Sans Pro"/>
        </w:rPr>
        <w:t xml:space="preserve"> for bæredygtig konkurrenceevne, social retfærdighed og modstandsdygtighed,</w:t>
      </w:r>
      <w:r>
        <w:rPr>
          <w:sz w:val="22"/>
          <w:szCs w:val="22"/>
          <w:rFonts w:ascii="EC Square Sans Pro" w:hAnsi="EC Square Sans Pro"/>
        </w:rPr>
        <w:t xml:space="preserve"> </w:t>
      </w:r>
    </w:p>
    <w:p w14:paraId="3EA00EB9" w14:textId="08100852" w:rsidR="00940BD0" w:rsidRDefault="00940BD0" w:rsidP="00610108">
      <w:pPr>
        <w:pStyle w:val="Text1"/>
        <w:spacing w:before="120" w:after="0" w:line="276" w:lineRule="auto"/>
        <w:ind w:left="0"/>
        <w:rPr>
          <w:sz w:val="22"/>
          <w:szCs w:val="22"/>
          <w:rFonts w:ascii="EC Square Sans Pro" w:hAnsi="EC Square Sans Pro" w:cstheme="minorHAnsi"/>
        </w:rPr>
      </w:pPr>
      <w:r>
        <w:rPr>
          <w:sz w:val="22"/>
          <w:szCs w:val="22"/>
          <w:rFonts w:ascii="EC Square Sans Pro" w:hAnsi="EC Square Sans Pro"/>
        </w:rPr>
        <w:t xml:space="preserve">med en forståelse af den vigtige rolle, som virksomheder og arbejdsmarkedets parter spiller med hensyn til at udpege færdighedsbehov og støtte udviklingen af relevante færdigheder,</w:t>
      </w:r>
    </w:p>
    <w:p w14:paraId="55E6A4DF" w14:textId="68E35914" w:rsidR="00780965" w:rsidRPr="0059792B" w:rsidRDefault="00780965" w:rsidP="00610108">
      <w:pPr>
        <w:pStyle w:val="Text1"/>
        <w:spacing w:before="120" w:after="0" w:line="276" w:lineRule="auto"/>
        <w:ind w:left="0"/>
        <w:rPr>
          <w:sz w:val="22"/>
          <w:szCs w:val="22"/>
          <w:rFonts w:ascii="EC Square Sans Pro" w:hAnsi="EC Square Sans Pro" w:cstheme="minorHAnsi"/>
        </w:rPr>
      </w:pPr>
      <w:r>
        <w:rPr>
          <w:sz w:val="22"/>
          <w:szCs w:val="22"/>
          <w:rFonts w:ascii="EC Square Sans Pro" w:hAnsi="EC Square Sans Pro"/>
        </w:rPr>
        <w:t xml:space="preserve">hvor betydningen af den sociale dialog med henblik på at bidrage til en vellykket opkvalificering og omskoling i Europa fremhæves, og de nationale systemer, arbejdsmarkedsparternes rolle og kollektive overenskomster fuldt ud respekteres,</w:t>
      </w:r>
    </w:p>
    <w:p w14:paraId="44B30350" w14:textId="5C8315D9" w:rsidR="0080312A" w:rsidRPr="0059792B" w:rsidRDefault="00AE6569" w:rsidP="00610108">
      <w:pPr>
        <w:pStyle w:val="Text1"/>
        <w:spacing w:before="120" w:after="0" w:line="276" w:lineRule="auto"/>
        <w:ind w:left="0"/>
        <w:rPr>
          <w:sz w:val="22"/>
          <w:szCs w:val="22"/>
          <w:rFonts w:ascii="EC Square Sans Pro" w:hAnsi="EC Square Sans Pro" w:cstheme="minorHAnsi"/>
        </w:rPr>
      </w:pPr>
      <w:r>
        <w:rPr>
          <w:sz w:val="22"/>
          <w:szCs w:val="22"/>
          <w:rFonts w:ascii="EC Square Sans Pro" w:hAnsi="EC Square Sans Pro"/>
        </w:rPr>
        <w:t xml:space="preserve">hvor fordelene ved samarbejde og udveksling mellem og blandt virksomheder, arbejdstagere og regionale og lokale myndigheder fremhæves,</w:t>
      </w:r>
    </w:p>
    <w:p w14:paraId="476199EA" w14:textId="4E273BD0" w:rsidR="002E3766" w:rsidRPr="0059792B" w:rsidRDefault="003A2765" w:rsidP="00610108">
      <w:pPr>
        <w:pStyle w:val="Text1"/>
        <w:spacing w:before="120" w:after="0" w:line="276" w:lineRule="auto"/>
        <w:ind w:left="0"/>
        <w:rPr>
          <w:sz w:val="22"/>
          <w:szCs w:val="22"/>
          <w:rFonts w:ascii="EC Square Sans Pro" w:hAnsi="EC Square Sans Pro" w:cstheme="minorHAnsi"/>
        </w:rPr>
      </w:pPr>
      <w:r>
        <w:rPr>
          <w:sz w:val="22"/>
          <w:szCs w:val="22"/>
          <w:rFonts w:ascii="EC Square Sans Pro" w:hAnsi="EC Square Sans Pro"/>
        </w:rPr>
        <w:t xml:space="preserve">under anerkendelse af, at covid-19-pandemien i stor grad har påvirket vores samfund og økonomier, hvilket viser betydningen af EU's solidaritet og hurtige indsats for en retfærdig og modstandsdygtig genopretning,</w:t>
      </w:r>
      <w:r>
        <w:rPr>
          <w:sz w:val="22"/>
          <w:szCs w:val="22"/>
          <w:rFonts w:ascii="EC Square Sans Pro" w:hAnsi="EC Square Sans Pro"/>
        </w:rPr>
        <w:t xml:space="preserve"> </w:t>
      </w:r>
    </w:p>
    <w:p w14:paraId="2E3800BA" w14:textId="1F648D91" w:rsidR="002E3766" w:rsidRPr="0059792B" w:rsidRDefault="002E3766" w:rsidP="00610108">
      <w:pPr>
        <w:pStyle w:val="Text1"/>
        <w:spacing w:before="120" w:after="0" w:line="276" w:lineRule="auto"/>
        <w:ind w:left="0"/>
        <w:rPr>
          <w:sz w:val="22"/>
          <w:szCs w:val="22"/>
          <w:rFonts w:ascii="EC Square Sans Pro" w:hAnsi="EC Square Sans Pro" w:cstheme="minorHAnsi"/>
        </w:rPr>
      </w:pPr>
      <w:r>
        <w:rPr>
          <w:sz w:val="22"/>
          <w:szCs w:val="22"/>
          <w:b/>
          <w:rFonts w:ascii="EC Square Sans Pro" w:hAnsi="EC Square Sans Pro"/>
        </w:rPr>
        <w:t xml:space="preserve">glæder vi os over den pagt for færdigheder</w:t>
      </w:r>
      <w:r>
        <w:rPr>
          <w:sz w:val="22"/>
          <w:szCs w:val="22"/>
          <w:rFonts w:ascii="EC Square Sans Pro" w:hAnsi="EC Square Sans Pro"/>
        </w:rPr>
        <w:t xml:space="preserve">, som Europa-Kommissionen har iværksat for at mobilisere en samordnet indsats blandt private og offentlige partnere for kvalitetsinvesteringer i færdigheder for alle personer i den erhvervsaktive alder i hele Unionen, </w:t>
      </w:r>
      <w:r>
        <w:rPr>
          <w:sz w:val="22"/>
          <w:szCs w:val="22"/>
          <w:b/>
          <w:rFonts w:ascii="EC Square Sans Pro" w:hAnsi="EC Square Sans Pro"/>
        </w:rPr>
        <w:t xml:space="preserve">og vi vil respektere og opretholde følgende nøgleprincipper</w:t>
      </w:r>
      <w:r>
        <w:rPr>
          <w:sz w:val="22"/>
          <w:szCs w:val="22"/>
          <w:rFonts w:ascii="EC Square Sans Pro" w:hAnsi="EC Square Sans Pro"/>
        </w:rPr>
        <w:t xml:space="preserve">:</w:t>
      </w:r>
    </w:p>
    <w:p w14:paraId="66FFD0CB" w14:textId="5CBC9E99" w:rsidR="00610108" w:rsidRPr="0059792B" w:rsidRDefault="00610108" w:rsidP="00AB28CC">
      <w:pPr>
        <w:pStyle w:val="Text1"/>
        <w:numPr>
          <w:ilvl w:val="0"/>
          <w:numId w:val="2"/>
        </w:numPr>
        <w:spacing w:before="120" w:after="0" w:line="276" w:lineRule="auto"/>
        <w:rPr>
          <w:sz w:val="22"/>
          <w:szCs w:val="22"/>
          <w:rFonts w:ascii="EC Square Sans Pro" w:hAnsi="EC Square Sans Pro"/>
        </w:rPr>
      </w:pPr>
      <w:r>
        <w:rPr>
          <w:b/>
          <w:bCs/>
          <w:sz w:val="22"/>
          <w:szCs w:val="22"/>
          <w:rFonts w:ascii="EC Square Sans Pro" w:hAnsi="EC Square Sans Pro"/>
        </w:rPr>
        <w:t xml:space="preserve">fremme af en kultur med livslang læring for alle</w:t>
      </w:r>
    </w:p>
    <w:p w14:paraId="5DC1E812" w14:textId="5C85E62B" w:rsidR="00610108" w:rsidRPr="0059792B" w:rsidRDefault="00610108" w:rsidP="00AB28CC">
      <w:pPr>
        <w:pStyle w:val="Text1"/>
        <w:numPr>
          <w:ilvl w:val="0"/>
          <w:numId w:val="2"/>
        </w:numPr>
        <w:spacing w:before="120" w:after="0" w:line="276" w:lineRule="auto"/>
        <w:jc w:val="left"/>
        <w:rPr>
          <w:b/>
          <w:bCs/>
          <w:sz w:val="22"/>
          <w:szCs w:val="22"/>
          <w:rFonts w:ascii="EC Square Sans Pro" w:hAnsi="EC Square Sans Pro"/>
        </w:rPr>
      </w:pPr>
      <w:r>
        <w:rPr>
          <w:b/>
          <w:bCs/>
          <w:sz w:val="22"/>
          <w:szCs w:val="22"/>
          <w:rFonts w:ascii="EC Square Sans Pro" w:hAnsi="EC Square Sans Pro"/>
        </w:rPr>
        <w:t xml:space="preserve">opbygning af stærke kompetencepartnerskaber</w:t>
      </w:r>
    </w:p>
    <w:p w14:paraId="66BE6F53" w14:textId="6F97C186" w:rsidR="00610108" w:rsidRPr="0059792B" w:rsidRDefault="00610108" w:rsidP="00AB28CC">
      <w:pPr>
        <w:pStyle w:val="Text1"/>
        <w:numPr>
          <w:ilvl w:val="0"/>
          <w:numId w:val="2"/>
        </w:numPr>
        <w:spacing w:before="120" w:after="0" w:line="276" w:lineRule="auto"/>
        <w:jc w:val="left"/>
        <w:rPr>
          <w:b/>
          <w:bCs/>
          <w:sz w:val="22"/>
          <w:szCs w:val="22"/>
          <w:rFonts w:ascii="EC Square Sans Pro" w:hAnsi="EC Square Sans Pro"/>
        </w:rPr>
      </w:pPr>
      <w:r>
        <w:rPr>
          <w:b/>
          <w:bCs/>
          <w:sz w:val="22"/>
          <w:szCs w:val="22"/>
          <w:rFonts w:ascii="EC Square Sans Pro" w:hAnsi="EC Square Sans Pro"/>
        </w:rPr>
        <w:t xml:space="preserve">overvågning af udbuddet af og efterspørgslen efter kompetencer og foregribelse af kompetencebehov</w:t>
      </w:r>
    </w:p>
    <w:p w14:paraId="53512182" w14:textId="72F0EC5A" w:rsidR="00610108" w:rsidRPr="0059792B" w:rsidRDefault="00610108" w:rsidP="00AB28CC">
      <w:pPr>
        <w:pStyle w:val="Text1"/>
        <w:numPr>
          <w:ilvl w:val="0"/>
          <w:numId w:val="2"/>
        </w:numPr>
        <w:spacing w:before="120" w:after="0" w:line="276" w:lineRule="auto"/>
        <w:jc w:val="left"/>
        <w:rPr>
          <w:sz w:val="22"/>
          <w:szCs w:val="22"/>
          <w:rFonts w:ascii="EC Square Sans Pro" w:hAnsi="EC Square Sans Pro"/>
        </w:rPr>
      </w:pPr>
      <w:r>
        <w:rPr>
          <w:b/>
          <w:bCs/>
          <w:sz w:val="22"/>
          <w:szCs w:val="22"/>
          <w:rFonts w:ascii="EC Square Sans Pro" w:hAnsi="EC Square Sans Pro"/>
        </w:rPr>
        <w:t xml:space="preserve">bekæmpelse af forskelsbehandling og fremme af ligestilling mellem kønnene og lige muligheder.</w:t>
      </w:r>
    </w:p>
    <w:p w14:paraId="27CEEABE" w14:textId="2013A847" w:rsidR="0080312A" w:rsidRDefault="0080312A" w:rsidP="0080312A">
      <w:pPr>
        <w:pStyle w:val="Text1"/>
        <w:spacing w:before="120" w:after="0" w:line="276" w:lineRule="auto"/>
        <w:ind w:left="0"/>
        <w:rPr>
          <w:rFonts w:ascii="EC Square Sans Pro" w:hAnsi="EC Square Sans Pro" w:cstheme="minorHAnsi"/>
          <w:sz w:val="22"/>
          <w:szCs w:val="22"/>
        </w:rPr>
      </w:pPr>
    </w:p>
    <w:p w14:paraId="2D2B741A" w14:textId="7711C7C8" w:rsidR="0059792B" w:rsidRPr="0059792B" w:rsidRDefault="0059792B" w:rsidP="0059792B">
      <w:pPr>
        <w:pStyle w:val="Text1"/>
        <w:spacing w:before="120" w:after="0" w:line="276" w:lineRule="auto"/>
        <w:ind w:left="0"/>
        <w:jc w:val="right"/>
        <w:rPr>
          <w:sz w:val="22"/>
          <w:szCs w:val="22"/>
          <w:rFonts w:ascii="EC Square Sans Pro" w:hAnsi="EC Square Sans Pro" w:cstheme="minorHAnsi"/>
        </w:rPr>
      </w:pPr>
      <w:r>
        <w:rPr>
          <w:sz w:val="22"/>
          <w:szCs w:val="22"/>
          <w:rFonts w:ascii="EC Square Sans Pro" w:hAnsi="EC Square Sans Pro"/>
        </w:rPr>
        <w:t xml:space="preserve">Liste over underskrivere</w:t>
      </w:r>
    </w:p>
    <w:p w14:paraId="6445B9C6" w14:textId="77777777" w:rsidR="00DB3BD1" w:rsidRPr="0059792B" w:rsidRDefault="00DB3BD1">
      <w:pPr>
        <w:spacing w:before="0" w:after="0"/>
        <w:jc w:val="left"/>
        <w:rPr>
          <w:b/>
          <w:sz w:val="28"/>
          <w:szCs w:val="28"/>
          <w:rFonts w:ascii="EC Square Sans Pro" w:hAnsi="EC Square Sans Pro" w:cstheme="minorHAnsi"/>
        </w:rPr>
      </w:pPr>
      <w:r>
        <w:br w:type="page"/>
      </w:r>
    </w:p>
    <w:p w14:paraId="54C3BA72" w14:textId="04392F2A" w:rsidR="0092105C" w:rsidRPr="0059792B" w:rsidRDefault="00DF26D8" w:rsidP="00610108">
      <w:pPr>
        <w:pStyle w:val="Text1"/>
        <w:spacing w:before="120" w:after="0" w:line="276" w:lineRule="auto"/>
        <w:ind w:left="0"/>
        <w:rPr>
          <w:b/>
          <w:sz w:val="28"/>
          <w:szCs w:val="28"/>
          <w:rFonts w:ascii="EC Square Sans Pro" w:hAnsi="EC Square Sans Pro" w:cstheme="minorHAnsi"/>
        </w:rPr>
      </w:pPr>
      <w:r>
        <w:rPr>
          <w:b/>
          <w:sz w:val="28"/>
          <w:szCs w:val="28"/>
          <w:rFonts w:ascii="EC Square Sans Pro" w:hAnsi="EC Square Sans Pro"/>
        </w:rPr>
        <w:t xml:space="preserve">OPBYGNING AF KONKRETE FORPLIGTELSER</w:t>
      </w:r>
    </w:p>
    <w:p w14:paraId="17DC1260" w14:textId="7BD0DBF0" w:rsidR="00E31B0F" w:rsidRPr="0059792B" w:rsidRDefault="00E31B0F" w:rsidP="00610108">
      <w:pPr>
        <w:pStyle w:val="Text1"/>
        <w:spacing w:before="120" w:after="0" w:line="276" w:lineRule="auto"/>
        <w:ind w:left="0"/>
        <w:rPr>
          <w:sz w:val="22"/>
          <w:szCs w:val="22"/>
          <w:rFonts w:ascii="EC Square Sans Pro" w:hAnsi="EC Square Sans Pro" w:cstheme="minorHAnsi"/>
        </w:rPr>
      </w:pPr>
      <w:r>
        <w:rPr>
          <w:sz w:val="22"/>
          <w:szCs w:val="22"/>
          <w:rFonts w:ascii="EC Square Sans Pro" w:hAnsi="EC Square Sans Pro"/>
        </w:rPr>
        <w:t xml:space="preserve">Ud over at respektere og opretholde de centrale principper opfordres underskriverne af pagten kraftigt til at fremlægge konkrete tilsagn om at gennemføre opkvalificerings- eller omskolingsforanstaltninger, der gennemfører pagtens centrale principper i virkeligheden.</w:t>
      </w:r>
      <w:r>
        <w:rPr>
          <w:sz w:val="22"/>
          <w:szCs w:val="22"/>
          <w:rFonts w:ascii="EC Square Sans Pro" w:hAnsi="EC Square Sans Pro"/>
        </w:rPr>
        <w:t xml:space="preserve"> </w:t>
      </w:r>
      <w:r>
        <w:rPr>
          <w:sz w:val="22"/>
          <w:szCs w:val="22"/>
          <w:rFonts w:ascii="EC Square Sans Pro" w:hAnsi="EC Square Sans Pro"/>
        </w:rPr>
        <w:t xml:space="preserve">Dette kan gøres på forskellige måder afhængigt af sammenhængen, det industrielle økosystem og typen af involverede organisationer, såsom individuelle virksomheder eller andre organisationer eller partnerskaber.</w:t>
      </w:r>
      <w:r>
        <w:rPr>
          <w:sz w:val="22"/>
          <w:szCs w:val="22"/>
          <w:rFonts w:ascii="EC Square Sans Pro" w:hAnsi="EC Square Sans Pro"/>
        </w:rPr>
        <w:t xml:space="preserve"> </w:t>
      </w:r>
    </w:p>
    <w:p w14:paraId="217CB6CB" w14:textId="5CE8453F" w:rsidR="0092105C" w:rsidRPr="0059792B" w:rsidRDefault="00E31B0F" w:rsidP="00610108">
      <w:pPr>
        <w:pStyle w:val="Text1"/>
        <w:spacing w:before="120" w:after="0" w:line="276" w:lineRule="auto"/>
        <w:ind w:left="0"/>
        <w:rPr>
          <w:sz w:val="22"/>
          <w:szCs w:val="22"/>
          <w:rFonts w:ascii="EC Square Sans Pro" w:hAnsi="EC Square Sans Pro" w:cstheme="minorHAnsi"/>
        </w:rPr>
      </w:pPr>
      <w:r>
        <w:rPr>
          <w:sz w:val="22"/>
          <w:szCs w:val="22"/>
          <w:rFonts w:ascii="EC Square Sans Pro" w:hAnsi="EC Square Sans Pro"/>
        </w:rPr>
        <w:t xml:space="preserve">Følgende er en vejledende og ikke-udtømmende liste over katalysatorer, der kan støtte udviklingen af konkrete forpligtelser.</w:t>
      </w:r>
      <w:r>
        <w:rPr>
          <w:sz w:val="22"/>
          <w:szCs w:val="22"/>
          <w:rFonts w:ascii="EC Square Sans Pro" w:hAnsi="EC Square Sans Pro"/>
        </w:rPr>
        <w:t xml:space="preserve"> </w:t>
      </w:r>
      <w:r>
        <w:rPr>
          <w:sz w:val="22"/>
          <w:szCs w:val="22"/>
          <w:rFonts w:ascii="EC Square Sans Pro" w:hAnsi="EC Square Sans Pro"/>
        </w:rPr>
        <w:t xml:space="preserve">Når organisationer eller partnerskaber foreslår en forpligtelse med konkrete opkvalificerings- og omskolingsforanstaltninger, bør de vælge de relevante katalysatorer og tilpasse og integrere dem efter behov for at matche indholdet af deres forpligtelse.</w:t>
      </w:r>
      <w:r>
        <w:rPr>
          <w:sz w:val="22"/>
          <w:szCs w:val="22"/>
          <w:rFonts w:ascii="EC Square Sans Pro" w:hAnsi="EC Square Sans Pro"/>
        </w:rPr>
        <w:t xml:space="preserve"> </w:t>
      </w:r>
      <w:r>
        <w:rPr>
          <w:sz w:val="22"/>
          <w:szCs w:val="22"/>
          <w:rFonts w:ascii="EC Square Sans Pro" w:hAnsi="EC Square Sans Pro"/>
        </w:rPr>
        <w:t xml:space="preserve">De bør også angive mindst én central resultatindikator til overvågning af forpligtelsen, f.eks. antallet af personer, der deltager i opkvalificerings- eller omskolingsforanstaltningen.</w:t>
      </w:r>
    </w:p>
    <w:p w14:paraId="56EAC29A" w14:textId="35C9ECAA" w:rsidR="00A46659" w:rsidRPr="0059792B" w:rsidRDefault="00610108" w:rsidP="00610108">
      <w:pPr>
        <w:pStyle w:val="Text1"/>
        <w:spacing w:before="120" w:after="0" w:line="276" w:lineRule="auto"/>
        <w:ind w:left="0"/>
        <w:rPr>
          <w:b/>
          <w:sz w:val="22"/>
          <w:szCs w:val="22"/>
          <w:rFonts w:ascii="EC Square Sans Pro" w:hAnsi="EC Square Sans Pro" w:cstheme="minorHAnsi"/>
        </w:rPr>
      </w:pPr>
      <w:r>
        <w:rPr>
          <w:b/>
          <w:sz w:val="22"/>
          <w:szCs w:val="22"/>
          <w:rFonts w:ascii="EC Square Sans Pro" w:hAnsi="EC Square Sans Pro"/>
        </w:rPr>
        <w:t xml:space="preserve">Fremme af en kultur med livslang læring for alle</w:t>
      </w:r>
    </w:p>
    <w:p w14:paraId="746FAEF9" w14:textId="45F1129F" w:rsidR="00610108" w:rsidRPr="0059792B" w:rsidRDefault="00112082" w:rsidP="00AB28CC">
      <w:pPr>
        <w:pStyle w:val="Text1"/>
        <w:numPr>
          <w:ilvl w:val="0"/>
          <w:numId w:val="3"/>
        </w:numPr>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Organisationen fremmer sine medarbejderes færdigheder som afgørende for dens succes.</w:t>
      </w:r>
      <w:r>
        <w:rPr>
          <w:sz w:val="22"/>
          <w:szCs w:val="22"/>
          <w:rFonts w:ascii="EC Square Sans Pro" w:hAnsi="EC Square Sans Pro"/>
        </w:rPr>
        <w:t xml:space="preserve"> </w:t>
      </w:r>
    </w:p>
    <w:p w14:paraId="7B988AD8" w14:textId="555ED8A7" w:rsidR="00610108" w:rsidRPr="0059792B" w:rsidRDefault="00D156BA" w:rsidP="00AB28CC">
      <w:pPr>
        <w:pStyle w:val="Text1"/>
        <w:numPr>
          <w:ilvl w:val="0"/>
          <w:numId w:val="3"/>
        </w:numPr>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Arbejdsgivere og arbejdstagere gøres opmærksomme på værdien af og fordelene ved opkvalificering og omskoling og motiveres til løbende at forbedre deres viden og færdigheder.</w:t>
      </w:r>
    </w:p>
    <w:p w14:paraId="26136FE4" w14:textId="0CE1D3FE" w:rsidR="00610108" w:rsidRPr="0059792B" w:rsidRDefault="00610108" w:rsidP="00AB28CC">
      <w:pPr>
        <w:pStyle w:val="Text1"/>
        <w:numPr>
          <w:ilvl w:val="0"/>
          <w:numId w:val="3"/>
        </w:numPr>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Foranstaltningen er udviklet for og med arbejdstagerne og støttes på alle ledelsesniveauer.</w:t>
      </w:r>
      <w:r>
        <w:rPr>
          <w:sz w:val="22"/>
          <w:szCs w:val="22"/>
          <w:rFonts w:ascii="EC Square Sans Pro" w:hAnsi="EC Square Sans Pro"/>
        </w:rPr>
        <w:t xml:space="preserve"> </w:t>
      </w:r>
    </w:p>
    <w:p w14:paraId="48002E22" w14:textId="1953C653" w:rsidR="000E1A31" w:rsidRPr="0059792B" w:rsidRDefault="00112082" w:rsidP="00AB28CC">
      <w:pPr>
        <w:pStyle w:val="Text1"/>
        <w:numPr>
          <w:ilvl w:val="0"/>
          <w:numId w:val="3"/>
        </w:numPr>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Der er adgang til vejledning og karriereudviklingsstøtte.</w:t>
      </w:r>
    </w:p>
    <w:p w14:paraId="52B83533" w14:textId="2989E060" w:rsidR="00610108" w:rsidRPr="0059792B" w:rsidRDefault="007669A6" w:rsidP="00AB28CC">
      <w:pPr>
        <w:pStyle w:val="Text1"/>
        <w:numPr>
          <w:ilvl w:val="0"/>
          <w:numId w:val="3"/>
        </w:numPr>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Der anvendes passende finansielle ressourcer.</w:t>
      </w:r>
    </w:p>
    <w:p w14:paraId="7FDDC847" w14:textId="7FFE5876" w:rsidR="00610108" w:rsidRPr="0059792B" w:rsidRDefault="006E34FF" w:rsidP="00AB28CC">
      <w:pPr>
        <w:pStyle w:val="Text1"/>
        <w:numPr>
          <w:ilvl w:val="0"/>
          <w:numId w:val="3"/>
        </w:numPr>
        <w:tabs>
          <w:tab w:val="left" w:pos="675"/>
        </w:tabs>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Der foretages regelmæssig overvågning og kvalitetsvurdering.</w:t>
      </w:r>
      <w:r>
        <w:rPr>
          <w:sz w:val="22"/>
          <w:szCs w:val="22"/>
          <w:rFonts w:ascii="EC Square Sans Pro" w:hAnsi="EC Square Sans Pro"/>
        </w:rPr>
        <w:t xml:space="preserve"> </w:t>
      </w:r>
    </w:p>
    <w:p w14:paraId="7A595B6D" w14:textId="16929381" w:rsidR="00610108" w:rsidRPr="0059792B" w:rsidRDefault="0022195C" w:rsidP="00AB28CC">
      <w:pPr>
        <w:pStyle w:val="Text1"/>
        <w:numPr>
          <w:ilvl w:val="0"/>
          <w:numId w:val="3"/>
        </w:numPr>
        <w:tabs>
          <w:tab w:val="left" w:pos="675"/>
        </w:tabs>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Der lægges særlig vægt på opkvalificering og omskoling af dårligt stillede grupper, herunder ældre arbejdstagere og voksne, der har svært ved grundlæggende færdigheder.</w:t>
      </w:r>
    </w:p>
    <w:p w14:paraId="09148CF1" w14:textId="4EEB302E" w:rsidR="00610108" w:rsidRPr="0059792B" w:rsidRDefault="006E34FF" w:rsidP="00AB28CC">
      <w:pPr>
        <w:pStyle w:val="Text1"/>
        <w:numPr>
          <w:ilvl w:val="0"/>
          <w:numId w:val="3"/>
        </w:numPr>
        <w:spacing w:before="120" w:after="0" w:line="276" w:lineRule="auto"/>
        <w:rPr>
          <w:sz w:val="22"/>
          <w:szCs w:val="22"/>
          <w:rFonts w:ascii="EC Square Sans Pro" w:hAnsi="EC Square Sans Pro" w:cstheme="minorHAnsi"/>
        </w:rPr>
      </w:pPr>
      <w:r>
        <w:rPr>
          <w:sz w:val="22"/>
          <w:szCs w:val="22"/>
          <w:rFonts w:ascii="EC Square Sans Pro" w:hAnsi="EC Square Sans Pro"/>
        </w:rPr>
        <w:t xml:space="preserve">Der ydes støtte til ledelse og personale til at lære og overvinde hindringer, såsom mangel på tid og midler, med oplysninger om opkvalificerings- eller omskolingsmuligheder.</w:t>
      </w:r>
    </w:p>
    <w:p w14:paraId="2025A884" w14:textId="591C1DE3" w:rsidR="00E44623" w:rsidRPr="0059792B" w:rsidRDefault="00E44623" w:rsidP="00AB28CC">
      <w:pPr>
        <w:pStyle w:val="Text1"/>
        <w:numPr>
          <w:ilvl w:val="0"/>
          <w:numId w:val="3"/>
        </w:numPr>
        <w:spacing w:before="120" w:after="0" w:line="276" w:lineRule="auto"/>
        <w:rPr>
          <w:sz w:val="22"/>
          <w:szCs w:val="22"/>
          <w:rFonts w:ascii="EC Square Sans Pro" w:hAnsi="EC Square Sans Pro" w:cstheme="minorHAnsi"/>
        </w:rPr>
      </w:pPr>
      <w:r>
        <w:rPr>
          <w:sz w:val="22"/>
          <w:szCs w:val="22"/>
          <w:rFonts w:ascii="EC Square Sans Pro" w:hAnsi="EC Square Sans Pro"/>
        </w:rPr>
        <w:t xml:space="preserve">Virksomhederne har finansielle og ikke-finansielle incitamenter til at tilbyde opkvalificering og omskoling til arbejdsgivere og arbejdstagere.</w:t>
      </w:r>
    </w:p>
    <w:p w14:paraId="0E1D140B" w14:textId="116877C0" w:rsidR="00E44623" w:rsidRPr="0059792B" w:rsidRDefault="00E44623" w:rsidP="00283AE0">
      <w:pPr>
        <w:pStyle w:val="Text1"/>
        <w:numPr>
          <w:ilvl w:val="0"/>
          <w:numId w:val="3"/>
        </w:numPr>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Der er særlig støtte (f.eks. værktøjer, tjenester og finansiering) til rådighed for mikrovirksomheder og små og mellemstore virksomheder med henblik på at skabe og opretholde en læringskultur i organisationen for både ledelsen og personalet.</w:t>
      </w:r>
    </w:p>
    <w:p w14:paraId="357F5E3E" w14:textId="48A81CB8" w:rsidR="00610108" w:rsidRPr="0059792B" w:rsidRDefault="00610108" w:rsidP="00610108">
      <w:pPr>
        <w:pStyle w:val="Text1"/>
        <w:spacing w:before="120" w:after="0" w:line="276" w:lineRule="auto"/>
        <w:ind w:left="0"/>
        <w:rPr>
          <w:sz w:val="22"/>
          <w:szCs w:val="22"/>
          <w:rFonts w:ascii="EC Square Sans Pro" w:hAnsi="EC Square Sans Pro" w:cstheme="minorHAnsi"/>
        </w:rPr>
      </w:pPr>
      <w:r>
        <w:rPr>
          <w:b/>
          <w:sz w:val="22"/>
          <w:szCs w:val="22"/>
          <w:rFonts w:ascii="EC Square Sans Pro" w:hAnsi="EC Square Sans Pro"/>
        </w:rPr>
        <w:t xml:space="preserve">Opbygning af stærke kompetencepartnerskaber</w:t>
      </w:r>
      <w:r>
        <w:rPr>
          <w:b/>
          <w:sz w:val="22"/>
          <w:szCs w:val="22"/>
          <w:rFonts w:ascii="EC Square Sans Pro" w:hAnsi="EC Square Sans Pro"/>
        </w:rPr>
        <w:t xml:space="preserve"> </w:t>
      </w:r>
    </w:p>
    <w:p w14:paraId="6FEB8D09" w14:textId="522BA2D1" w:rsidR="00610108" w:rsidRPr="0059792B" w:rsidRDefault="00E44623" w:rsidP="00AB28CC">
      <w:pPr>
        <w:pStyle w:val="Text1"/>
        <w:numPr>
          <w:ilvl w:val="0"/>
          <w:numId w:val="3"/>
        </w:numPr>
        <w:spacing w:before="120" w:after="0" w:line="276" w:lineRule="auto"/>
        <w:rPr>
          <w:sz w:val="22"/>
          <w:szCs w:val="22"/>
          <w:rFonts w:ascii="EC Square Sans Pro" w:hAnsi="EC Square Sans Pro" w:cstheme="minorHAnsi"/>
        </w:rPr>
      </w:pPr>
      <w:r>
        <w:rPr>
          <w:sz w:val="22"/>
          <w:szCs w:val="22"/>
          <w:rFonts w:ascii="EC Square Sans Pro" w:hAnsi="EC Square Sans Pro"/>
        </w:rPr>
        <w:t xml:space="preserve">En bred vifte af interessenter er involveret, navnlig arbejdsmarkedets parter, uddannelsesudbydere, offentlige myndigheder, forskere, offentlige eller private arbejdsformidlinger, handelskamre og andre formidlende organer samt brancheorganisationer.</w:t>
      </w:r>
      <w:r>
        <w:rPr>
          <w:sz w:val="22"/>
          <w:szCs w:val="22"/>
          <w:rFonts w:ascii="EC Square Sans Pro" w:hAnsi="EC Square Sans Pro"/>
        </w:rPr>
        <w:t xml:space="preserve"> </w:t>
      </w:r>
    </w:p>
    <w:p w14:paraId="3A8E8091" w14:textId="70390678" w:rsidR="00610108" w:rsidRDefault="00FA5FFC" w:rsidP="00AB28CC">
      <w:pPr>
        <w:pStyle w:val="Text1"/>
        <w:numPr>
          <w:ilvl w:val="0"/>
          <w:numId w:val="4"/>
        </w:numPr>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Partnerskab i et industrielt økosystem er åbent for alle relevante interessenter med henblik på at samle ekspertise og ressourcer til konkrete foranstaltninger, der vil sætte folk i stand til at beholde, ændre og finde nye job.</w:t>
      </w:r>
      <w:r>
        <w:rPr>
          <w:sz w:val="22"/>
          <w:szCs w:val="22"/>
          <w:rFonts w:ascii="EC Square Sans Pro" w:hAnsi="EC Square Sans Pro"/>
        </w:rPr>
        <w:t xml:space="preserve"> </w:t>
      </w:r>
    </w:p>
    <w:p w14:paraId="56BA1EC8" w14:textId="06FE7D02" w:rsidR="004C3338" w:rsidRPr="0059792B" w:rsidRDefault="004C3338" w:rsidP="004C3338">
      <w:pPr>
        <w:pStyle w:val="Text1"/>
        <w:numPr>
          <w:ilvl w:val="0"/>
          <w:numId w:val="4"/>
        </w:numPr>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Partnerskabet samarbejder på europæisk, nationalt, regionalt eller lokalt plan, alt efter hvad der er relevant.</w:t>
      </w:r>
    </w:p>
    <w:p w14:paraId="07E6FC8B" w14:textId="2FA4354C" w:rsidR="00610108" w:rsidRPr="0059792B" w:rsidRDefault="00347462" w:rsidP="00AB28CC">
      <w:pPr>
        <w:pStyle w:val="Text1"/>
        <w:numPr>
          <w:ilvl w:val="0"/>
          <w:numId w:val="4"/>
        </w:numPr>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Tværsektorielt samarbejde støttes mellem relevante partnerskaber i sektorer/industrielle økosystemer.</w:t>
      </w:r>
    </w:p>
    <w:p w14:paraId="2EE0BF81" w14:textId="00A529FF" w:rsidR="00610108" w:rsidRPr="0059792B" w:rsidRDefault="001130DA" w:rsidP="00AB28CC">
      <w:pPr>
        <w:pStyle w:val="Text1"/>
        <w:numPr>
          <w:ilvl w:val="0"/>
          <w:numId w:val="4"/>
        </w:numPr>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Det sikres, at hver enkelt partner har et fælles ansvar og en proaktiv rolle.</w:t>
      </w:r>
    </w:p>
    <w:p w14:paraId="0D9D7987" w14:textId="5B48DE9F" w:rsidR="000E1A31" w:rsidRPr="0059792B" w:rsidRDefault="006E34FF" w:rsidP="00AB28CC">
      <w:pPr>
        <w:pStyle w:val="Text1"/>
        <w:numPr>
          <w:ilvl w:val="0"/>
          <w:numId w:val="4"/>
        </w:numPr>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Medlemmerne af partnerskabet har en åben dialog og deler og udveksler viden for at sikre, at uddannelsestilbuddet er af høj kvalitet, herunder kvaliteten af lærerne/underviserne og uddannelsesprogrammerne.</w:t>
      </w:r>
      <w:r>
        <w:rPr>
          <w:sz w:val="22"/>
          <w:szCs w:val="22"/>
          <w:rFonts w:ascii="EC Square Sans Pro" w:hAnsi="EC Square Sans Pro"/>
        </w:rPr>
        <w:t xml:space="preserve"> </w:t>
      </w:r>
    </w:p>
    <w:p w14:paraId="7F1F814A" w14:textId="057A3E7B" w:rsidR="00610108" w:rsidRPr="0059792B" w:rsidRDefault="001130DA" w:rsidP="00AB28CC">
      <w:pPr>
        <w:pStyle w:val="Text1"/>
        <w:numPr>
          <w:ilvl w:val="0"/>
          <w:numId w:val="4"/>
        </w:numPr>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Partnerskabet baserer sin foranstaltning på afprøvede værktøjer, men udvikler også innovative løsninger.</w:t>
      </w:r>
    </w:p>
    <w:p w14:paraId="4FEABA9A" w14:textId="39716BD0" w:rsidR="00610108" w:rsidRPr="0059792B" w:rsidRDefault="00610108" w:rsidP="00610108">
      <w:pPr>
        <w:pStyle w:val="Text1"/>
        <w:spacing w:before="120" w:after="0" w:line="276" w:lineRule="auto"/>
        <w:ind w:left="0"/>
        <w:rPr>
          <w:b/>
          <w:sz w:val="22"/>
          <w:szCs w:val="22"/>
          <w:rFonts w:ascii="EC Square Sans Pro" w:hAnsi="EC Square Sans Pro" w:cstheme="minorHAnsi"/>
        </w:rPr>
      </w:pPr>
      <w:r>
        <w:rPr>
          <w:b/>
          <w:sz w:val="22"/>
          <w:szCs w:val="22"/>
          <w:rFonts w:ascii="EC Square Sans Pro" w:hAnsi="EC Square Sans Pro"/>
        </w:rPr>
        <w:t xml:space="preserve">Overvågning af udbuddet af og efterspørgslen efter kompetencer og foregribelse af kompetencebehov</w:t>
      </w:r>
    </w:p>
    <w:p w14:paraId="2CE160BB" w14:textId="77777777" w:rsidR="00610108" w:rsidRPr="0059792B" w:rsidRDefault="00610108" w:rsidP="00AB28CC">
      <w:pPr>
        <w:pStyle w:val="Text1"/>
        <w:numPr>
          <w:ilvl w:val="0"/>
          <w:numId w:val="5"/>
        </w:numPr>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Efterspørgslen efter og udbuddet af (jobrelaterede og tværfaglige) færdigheder overvåges regelmæssigt, og den enkelte informeres tydeligt om de nødvendige færdigheder.</w:t>
      </w:r>
      <w:r>
        <w:rPr>
          <w:sz w:val="22"/>
          <w:szCs w:val="22"/>
          <w:rFonts w:ascii="EC Square Sans Pro" w:hAnsi="EC Square Sans Pro"/>
        </w:rPr>
        <w:t xml:space="preserve"> </w:t>
      </w:r>
    </w:p>
    <w:p w14:paraId="580B7F3C" w14:textId="77777777" w:rsidR="003B6302" w:rsidRPr="0059792B" w:rsidRDefault="00610108" w:rsidP="00AB28CC">
      <w:pPr>
        <w:pStyle w:val="Text1"/>
        <w:numPr>
          <w:ilvl w:val="0"/>
          <w:numId w:val="5"/>
        </w:numPr>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Foregribelse af færdigheder tager hensyn til behovet for at støtte den digitale og grønne omstilling og konsekvenserne af demografiske ændringer.</w:t>
      </w:r>
      <w:r>
        <w:rPr>
          <w:sz w:val="22"/>
          <w:szCs w:val="22"/>
          <w:rFonts w:ascii="EC Square Sans Pro" w:hAnsi="EC Square Sans Pro"/>
        </w:rPr>
        <w:t xml:space="preserve"> </w:t>
      </w:r>
    </w:p>
    <w:p w14:paraId="5D48B295" w14:textId="702FE981" w:rsidR="00610108" w:rsidRPr="0059792B" w:rsidRDefault="003B6302" w:rsidP="00AB28CC">
      <w:pPr>
        <w:pStyle w:val="Text1"/>
        <w:numPr>
          <w:ilvl w:val="0"/>
          <w:numId w:val="5"/>
        </w:numPr>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Overvågning af efterspørgslen efter og udbuddet af færdigheder ser på arbejdsstyrkens og virksomhedernes færdighedsbehov på regionalt, nationalt og europæisk plan.</w:t>
      </w:r>
    </w:p>
    <w:p w14:paraId="12C1E9BC" w14:textId="77777777" w:rsidR="004C3338" w:rsidRPr="004C3338" w:rsidRDefault="00610108" w:rsidP="004C3338">
      <w:pPr>
        <w:pStyle w:val="Text1"/>
        <w:numPr>
          <w:ilvl w:val="0"/>
          <w:numId w:val="5"/>
        </w:numPr>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Foregribelse af færdigheder omfatter hurtige ændringer på arbejdsmarkedet og giver relevante og rettidige oplysninger om færdighedsbehov.</w:t>
      </w:r>
      <w:r>
        <w:t xml:space="preserve"> </w:t>
      </w:r>
    </w:p>
    <w:p w14:paraId="48F7F75D" w14:textId="2DE9C724" w:rsidR="00610108" w:rsidRPr="0059792B" w:rsidRDefault="004C3338" w:rsidP="004C3338">
      <w:pPr>
        <w:pStyle w:val="Text1"/>
        <w:numPr>
          <w:ilvl w:val="0"/>
          <w:numId w:val="5"/>
        </w:numPr>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Foregribelse af færdigheder tager hensyn til den regionale, nationale og europæiske udvikling.</w:t>
      </w:r>
    </w:p>
    <w:p w14:paraId="6BD98093" w14:textId="791DEDA0" w:rsidR="00610108" w:rsidRPr="0059792B" w:rsidRDefault="001130DA" w:rsidP="00AB28CC">
      <w:pPr>
        <w:pStyle w:val="Text1"/>
        <w:numPr>
          <w:ilvl w:val="0"/>
          <w:numId w:val="5"/>
        </w:numPr>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Overvågningsmekanismen omfatter ikke kun jobrelaterede, men også tværgående og grundlæggende færdighedsbehov.</w:t>
      </w:r>
    </w:p>
    <w:p w14:paraId="4F41DDA8" w14:textId="0C320565" w:rsidR="00610108" w:rsidRPr="0059792B" w:rsidRDefault="001130DA" w:rsidP="00AB28CC">
      <w:pPr>
        <w:pStyle w:val="Text1"/>
        <w:numPr>
          <w:ilvl w:val="0"/>
          <w:numId w:val="5"/>
        </w:numPr>
        <w:spacing w:before="120" w:after="0" w:line="276" w:lineRule="auto"/>
        <w:rPr>
          <w:sz w:val="22"/>
          <w:szCs w:val="22"/>
          <w:rFonts w:ascii="EC Square Sans Pro" w:hAnsi="EC Square Sans Pro" w:cstheme="minorHAnsi"/>
        </w:rPr>
      </w:pPr>
      <w:r>
        <w:rPr>
          <w:sz w:val="22"/>
          <w:szCs w:val="22"/>
          <w:rFonts w:ascii="EC Square Sans Pro" w:hAnsi="EC Square Sans Pro"/>
        </w:rPr>
        <w:t xml:space="preserve">Foranstaltningen bygger på de konstaterede færdighedsbehov, både jobrelaterede og bløde kompetencer.</w:t>
      </w:r>
    </w:p>
    <w:p w14:paraId="7254DFFF" w14:textId="33F6C60D" w:rsidR="00610108" w:rsidRPr="0059792B" w:rsidRDefault="00610108" w:rsidP="00610108">
      <w:pPr>
        <w:pStyle w:val="Text1"/>
        <w:spacing w:before="120" w:after="0" w:line="276" w:lineRule="auto"/>
        <w:ind w:left="0"/>
        <w:rPr>
          <w:b/>
          <w:sz w:val="22"/>
          <w:szCs w:val="22"/>
          <w:rFonts w:ascii="EC Square Sans Pro" w:hAnsi="EC Square Sans Pro" w:cstheme="minorHAnsi"/>
        </w:rPr>
      </w:pPr>
      <w:r>
        <w:rPr>
          <w:b/>
          <w:sz w:val="22"/>
          <w:szCs w:val="22"/>
          <w:rFonts w:ascii="EC Square Sans Pro" w:hAnsi="EC Square Sans Pro"/>
        </w:rPr>
        <w:t xml:space="preserve">Bekæmpelse af forskelsbehandling og fremme af ligestilling mellem kønnene og lige muligheder</w:t>
      </w:r>
    </w:p>
    <w:p w14:paraId="6D6DA112" w14:textId="087FAF3C" w:rsidR="002F22E0" w:rsidRPr="0059792B" w:rsidRDefault="001130DA" w:rsidP="002F22E0">
      <w:pPr>
        <w:pStyle w:val="Text1"/>
        <w:numPr>
          <w:ilvl w:val="0"/>
          <w:numId w:val="6"/>
        </w:numPr>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Lige muligheder fremmes aktivt gennem foranstaltningen, uanset køn, race eller etnisk oprindelse, religion eller tro, handicap, alder eller seksuel orientering.</w:t>
      </w:r>
    </w:p>
    <w:p w14:paraId="56139681" w14:textId="559C82C7" w:rsidR="00610108" w:rsidRPr="0059792B" w:rsidRDefault="00774040" w:rsidP="00774040">
      <w:pPr>
        <w:pStyle w:val="Text1"/>
        <w:numPr>
          <w:ilvl w:val="0"/>
          <w:numId w:val="6"/>
        </w:numPr>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Foranstaltningen giver adgang til opkvalificerings-/omskolingsmuligheder af høj kvalitet for alle i målgruppen, uanset køn, race eller etnisk oprindelse, religion eller tro, handicap, alder</w:t>
      </w:r>
      <w:r w:rsidRPr="0059792B">
        <w:rPr>
          <w:rStyle w:val="FootnoteReference"/>
          <w:rFonts w:ascii="EC Square Sans Pro" w:hAnsi="EC Square Sans Pro" w:cstheme="minorHAnsi"/>
          <w:sz w:val="22"/>
          <w:szCs w:val="22"/>
        </w:rPr>
        <w:footnoteReference w:id="3"/>
      </w:r>
      <w:r>
        <w:rPr>
          <w:sz w:val="22"/>
          <w:szCs w:val="22"/>
          <w:rFonts w:ascii="EC Square Sans Pro" w:hAnsi="EC Square Sans Pro"/>
        </w:rPr>
        <w:t xml:space="preserve"> eller seksuel orientering.</w:t>
      </w:r>
      <w:r>
        <w:rPr>
          <w:sz w:val="22"/>
          <w:szCs w:val="22"/>
          <w:rFonts w:ascii="EC Square Sans Pro" w:hAnsi="EC Square Sans Pro"/>
        </w:rPr>
        <w:t xml:space="preserve"> </w:t>
      </w:r>
    </w:p>
    <w:p w14:paraId="4881B9BD" w14:textId="7DD69CD0" w:rsidR="00610108" w:rsidRPr="0059792B" w:rsidRDefault="00774040" w:rsidP="00AB28CC">
      <w:pPr>
        <w:pStyle w:val="Text1"/>
        <w:numPr>
          <w:ilvl w:val="0"/>
          <w:numId w:val="6"/>
        </w:numPr>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Validering og anerkendelse af erhvervede færdigheder (herunder mikroeksamensbeviser) er indarbejdet i foranstaltningen.</w:t>
      </w:r>
    </w:p>
    <w:p w14:paraId="524E032D" w14:textId="5CAB99B1" w:rsidR="00610108" w:rsidRPr="0059792B" w:rsidRDefault="00610108" w:rsidP="00AB28CC">
      <w:pPr>
        <w:pStyle w:val="Text1"/>
        <w:numPr>
          <w:ilvl w:val="0"/>
          <w:numId w:val="7"/>
        </w:numPr>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Der tages hensyn til den enkeltes behov og kompetencer, herunder deres personlige og erhvervsmæssige behov (f.eks. karriereskift midt i livet).</w:t>
      </w:r>
    </w:p>
    <w:p w14:paraId="2B2F0D54" w14:textId="615E20AE" w:rsidR="00E35952" w:rsidRPr="000D72F3" w:rsidRDefault="006E34FF" w:rsidP="004D0D31">
      <w:pPr>
        <w:pStyle w:val="Text1"/>
        <w:numPr>
          <w:ilvl w:val="0"/>
          <w:numId w:val="7"/>
        </w:numPr>
        <w:spacing w:after="0" w:line="276" w:lineRule="auto"/>
        <w:ind w:right="113"/>
        <w:jc w:val="left"/>
        <w:rPr>
          <w:sz w:val="22"/>
          <w:szCs w:val="22"/>
          <w:rFonts w:ascii="EC Square Sans Pro" w:hAnsi="EC Square Sans Pro" w:cstheme="minorHAnsi"/>
        </w:rPr>
      </w:pPr>
      <w:r>
        <w:rPr>
          <w:sz w:val="22"/>
          <w:szCs w:val="22"/>
          <w:rFonts w:ascii="EC Square Sans Pro" w:hAnsi="EC Square Sans Pro"/>
        </w:rPr>
        <w:t xml:space="preserve">Foranstaltningen er fleksibel, modulopbygget og, når det er muligt, tilvejebringes gennem værktøjer (herunder digitale værktøjer), der sikrer adgang til læring for alle mennesker i den erhvervsaktive alder.</w:t>
      </w:r>
      <w:r>
        <w:rPr>
          <w:sz w:val="22"/>
          <w:szCs w:val="22"/>
          <w:rFonts w:ascii="EC Square Sans Pro" w:hAnsi="EC Square Sans Pro"/>
        </w:rPr>
        <w:t xml:space="preserve"> </w:t>
      </w:r>
    </w:p>
    <w:sectPr w:rsidR="00E35952" w:rsidRPr="000D72F3" w:rsidSect="00AB28CC">
      <w:headerReference w:type="even" r:id="rId8"/>
      <w:headerReference w:type="default" r:id="rId9"/>
      <w:footerReference w:type="even" r:id="rId10"/>
      <w:footerReference w:type="default" r:id="rId11"/>
      <w:headerReference w:type="first" r:id="rId12"/>
      <w:footerReference w:type="first" r:id="rId13"/>
      <w:pgSz w:w="11906" w:h="16838"/>
      <w:pgMar w:top="117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44F47C" w14:textId="77777777" w:rsidR="00432AD9" w:rsidRDefault="00432AD9" w:rsidP="008151F7">
      <w:pPr>
        <w:spacing w:before="0" w:after="0"/>
      </w:pPr>
      <w:r>
        <w:separator/>
      </w:r>
    </w:p>
  </w:endnote>
  <w:endnote w:type="continuationSeparator" w:id="0">
    <w:p w14:paraId="74EFB546" w14:textId="77777777" w:rsidR="00432AD9" w:rsidRDefault="00432AD9" w:rsidP="008151F7">
      <w:pPr>
        <w:spacing w:before="0" w:after="0"/>
      </w:pPr>
      <w:r>
        <w:continuationSeparator/>
      </w:r>
    </w:p>
  </w:endnote>
  <w:endnote w:type="continuationNotice" w:id="1">
    <w:p w14:paraId="403A5F65" w14:textId="77777777" w:rsidR="00432AD9" w:rsidRDefault="00432AD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EC Square Sans Pro">
    <w:panose1 w:val="020B0506040000020004"/>
    <w:charset w:val="00"/>
    <w:family w:val="swiss"/>
    <w:pitch w:val="variable"/>
    <w:sig w:usb0="A00002BF" w:usb1="5000E0F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1502E" w14:textId="77777777" w:rsidR="001C4D40" w:rsidRDefault="001C4D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0BD0F" w14:textId="77777777" w:rsidR="00C15301" w:rsidRPr="001C4D40" w:rsidRDefault="00C15301" w:rsidP="001C4D4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1E2A9" w14:textId="77777777" w:rsidR="001C4D40" w:rsidRDefault="001C4D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2BB2B" w14:textId="77777777" w:rsidR="00432AD9" w:rsidRDefault="00432AD9" w:rsidP="008151F7">
      <w:pPr>
        <w:spacing w:before="0" w:after="0"/>
      </w:pPr>
      <w:r>
        <w:separator/>
      </w:r>
    </w:p>
  </w:footnote>
  <w:footnote w:type="continuationSeparator" w:id="0">
    <w:p w14:paraId="1A652DF5" w14:textId="77777777" w:rsidR="00432AD9" w:rsidRDefault="00432AD9" w:rsidP="008151F7">
      <w:pPr>
        <w:spacing w:before="0" w:after="0"/>
      </w:pPr>
      <w:r>
        <w:continuationSeparator/>
      </w:r>
    </w:p>
  </w:footnote>
  <w:footnote w:type="continuationNotice" w:id="1">
    <w:p w14:paraId="54DEE4A9" w14:textId="77777777" w:rsidR="00432AD9" w:rsidRDefault="00432AD9">
      <w:pPr>
        <w:spacing w:before="0" w:after="0"/>
      </w:pPr>
    </w:p>
  </w:footnote>
  <w:footnote w:id="2">
    <w:p w14:paraId="6C35FB22" w14:textId="77777777" w:rsidR="000D72F3" w:rsidRDefault="000D72F3" w:rsidP="000D72F3">
      <w:pPr>
        <w:pStyle w:val="FootnoteText"/>
      </w:pPr>
      <w:r>
        <w:rPr>
          <w:rStyle w:val="FootnoteReference"/>
        </w:rPr>
        <w:footnoteRef/>
      </w:r>
      <w:r>
        <w:t xml:space="preserve"> </w:t>
        <w:tab/>
        <w:t xml:space="preserve">Såsom Den Europæiske Socialfond Plus, REACT-EU, Fonden for Retfærdig Omstilling, Erasmus+, Horisont Europa, programmet for et digitalt Europa, Den Europæiske Fond for Regionaludvikling, InvestEU og Moderniseringsfonden.</w:t>
      </w:r>
    </w:p>
  </w:footnote>
  <w:footnote w:id="3">
    <w:p w14:paraId="0A32517E" w14:textId="16C3F6B3" w:rsidR="00774040" w:rsidRDefault="00774040">
      <w:pPr>
        <w:pStyle w:val="FootnoteText"/>
      </w:pPr>
      <w:r>
        <w:rPr>
          <w:rStyle w:val="FootnoteReference"/>
        </w:rPr>
        <w:footnoteRef/>
      </w:r>
      <w:r>
        <w:t xml:space="preserve"> </w:t>
        <w:tab/>
        <w:t xml:space="preserve">Medmindre det er begrundet ved foranstaltningens art, f.eks. opkvalificerings- og omskolingsinitiativer rettet mod ældre arbejdstagere eller yngre medarbejdere.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481E6" w14:textId="271A661A" w:rsidR="001C4D40" w:rsidRDefault="001C4D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2DA742" w14:textId="3ACBC93D" w:rsidR="001C4D40" w:rsidRPr="00926193" w:rsidRDefault="001C4D40" w:rsidP="009261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5FAAB" w14:textId="48F2D677" w:rsidR="001C4D40" w:rsidRDefault="001C4D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A77DD"/>
    <w:multiLevelType w:val="hybridMultilevel"/>
    <w:tmpl w:val="4742012A"/>
    <w:lvl w:ilvl="0" w:tplc="EC5E95C0">
      <w:start w:val="1"/>
      <w:numFmt w:val="decimal"/>
      <w:lvlText w:val="%1."/>
      <w:lvlJc w:val="left"/>
      <w:pPr>
        <w:ind w:left="720" w:hanging="360"/>
      </w:pPr>
      <w:rPr>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4996626"/>
    <w:multiLevelType w:val="hybridMultilevel"/>
    <w:tmpl w:val="167E1E8A"/>
    <w:lvl w:ilvl="0" w:tplc="1F961EDC">
      <w:start w:val="1"/>
      <w:numFmt w:val="bullet"/>
      <w:pStyle w:val="Briefinglist1"/>
      <w:lvlText w:val=""/>
      <w:lvlJc w:val="left"/>
      <w:pPr>
        <w:tabs>
          <w:tab w:val="num" w:pos="284"/>
        </w:tabs>
        <w:ind w:left="284" w:hanging="284"/>
      </w:pPr>
      <w:rPr>
        <w:rFonts w:ascii="Symbol" w:hAnsi="Symbol" w:hint="default"/>
        <w:b w:val="0"/>
        <w:i w:val="0"/>
        <w:color w:val="auto"/>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64B4886"/>
    <w:multiLevelType w:val="hybridMultilevel"/>
    <w:tmpl w:val="BA4CA22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4AEF05B4"/>
    <w:multiLevelType w:val="hybridMultilevel"/>
    <w:tmpl w:val="140203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534B1C3E"/>
    <w:multiLevelType w:val="hybridMultilevel"/>
    <w:tmpl w:val="40EC12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6BA5583"/>
    <w:multiLevelType w:val="hybridMultilevel"/>
    <w:tmpl w:val="BA4CA22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57577808"/>
    <w:multiLevelType w:val="hybridMultilevel"/>
    <w:tmpl w:val="24042BC8"/>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59FE208B"/>
    <w:multiLevelType w:val="hybridMultilevel"/>
    <w:tmpl w:val="746021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65FD6255"/>
    <w:multiLevelType w:val="hybridMultilevel"/>
    <w:tmpl w:val="25C67D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769E6A34"/>
    <w:multiLevelType w:val="hybridMultilevel"/>
    <w:tmpl w:val="0FE62C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A804B99"/>
    <w:multiLevelType w:val="hybridMultilevel"/>
    <w:tmpl w:val="E1E818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7"/>
  </w:num>
  <w:num w:numId="4">
    <w:abstractNumId w:val="10"/>
  </w:num>
  <w:num w:numId="5">
    <w:abstractNumId w:val="4"/>
  </w:num>
  <w:num w:numId="6">
    <w:abstractNumId w:val="8"/>
  </w:num>
  <w:num w:numId="7">
    <w:abstractNumId w:val="3"/>
  </w:num>
  <w:num w:numId="8">
    <w:abstractNumId w:val="9"/>
  </w:num>
  <w:num w:numId="9">
    <w:abstractNumId w:val="5"/>
  </w:num>
  <w:num w:numId="10">
    <w:abstractNumId w:val="6"/>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TrackFormatting/>
  <w:defaultTabStop w:val="720"/>
  <w:hyphenationZone w:val="425"/>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57776"/>
    <w:rsid w:val="000033D7"/>
    <w:rsid w:val="00007FB5"/>
    <w:rsid w:val="00023C08"/>
    <w:rsid w:val="000274D4"/>
    <w:rsid w:val="00027B3B"/>
    <w:rsid w:val="00040F32"/>
    <w:rsid w:val="0004352D"/>
    <w:rsid w:val="0004437D"/>
    <w:rsid w:val="000473C9"/>
    <w:rsid w:val="0005456A"/>
    <w:rsid w:val="00060684"/>
    <w:rsid w:val="00062C8E"/>
    <w:rsid w:val="00063F5F"/>
    <w:rsid w:val="000763D4"/>
    <w:rsid w:val="000857C1"/>
    <w:rsid w:val="00087BF8"/>
    <w:rsid w:val="000952B0"/>
    <w:rsid w:val="000A1A8B"/>
    <w:rsid w:val="000A75C4"/>
    <w:rsid w:val="000B18D4"/>
    <w:rsid w:val="000D09E9"/>
    <w:rsid w:val="000D68D8"/>
    <w:rsid w:val="000D72F3"/>
    <w:rsid w:val="000E0FCB"/>
    <w:rsid w:val="000E1A31"/>
    <w:rsid w:val="000E1DB8"/>
    <w:rsid w:val="000E2D77"/>
    <w:rsid w:val="000F18F3"/>
    <w:rsid w:val="00112082"/>
    <w:rsid w:val="00112F24"/>
    <w:rsid w:val="001130DA"/>
    <w:rsid w:val="00115FFB"/>
    <w:rsid w:val="00116DDA"/>
    <w:rsid w:val="00131F33"/>
    <w:rsid w:val="00156F14"/>
    <w:rsid w:val="00163B50"/>
    <w:rsid w:val="00180C0F"/>
    <w:rsid w:val="00191750"/>
    <w:rsid w:val="001922B3"/>
    <w:rsid w:val="00194587"/>
    <w:rsid w:val="001A1133"/>
    <w:rsid w:val="001A4389"/>
    <w:rsid w:val="001B2F8D"/>
    <w:rsid w:val="001C036B"/>
    <w:rsid w:val="001C4D40"/>
    <w:rsid w:val="001D6ADA"/>
    <w:rsid w:val="001F41D5"/>
    <w:rsid w:val="001F7AB2"/>
    <w:rsid w:val="001F7F7B"/>
    <w:rsid w:val="00213C3B"/>
    <w:rsid w:val="0022195C"/>
    <w:rsid w:val="00222253"/>
    <w:rsid w:val="00222FF3"/>
    <w:rsid w:val="0022676B"/>
    <w:rsid w:val="00251D05"/>
    <w:rsid w:val="00253E8A"/>
    <w:rsid w:val="00254831"/>
    <w:rsid w:val="002561F6"/>
    <w:rsid w:val="0026216D"/>
    <w:rsid w:val="002874E2"/>
    <w:rsid w:val="0029201E"/>
    <w:rsid w:val="00296BEC"/>
    <w:rsid w:val="002B1B65"/>
    <w:rsid w:val="002B30D0"/>
    <w:rsid w:val="002C0B75"/>
    <w:rsid w:val="002C0E3D"/>
    <w:rsid w:val="002D44A1"/>
    <w:rsid w:val="002D7E0A"/>
    <w:rsid w:val="002E3766"/>
    <w:rsid w:val="002F22E0"/>
    <w:rsid w:val="002F5765"/>
    <w:rsid w:val="002F59A6"/>
    <w:rsid w:val="002F62A9"/>
    <w:rsid w:val="00300D6E"/>
    <w:rsid w:val="0030106C"/>
    <w:rsid w:val="00311133"/>
    <w:rsid w:val="0031193D"/>
    <w:rsid w:val="00315699"/>
    <w:rsid w:val="00320201"/>
    <w:rsid w:val="00335AC1"/>
    <w:rsid w:val="0034151C"/>
    <w:rsid w:val="00345743"/>
    <w:rsid w:val="00347462"/>
    <w:rsid w:val="00353ECF"/>
    <w:rsid w:val="00364B47"/>
    <w:rsid w:val="00367EFF"/>
    <w:rsid w:val="003735E1"/>
    <w:rsid w:val="00380943"/>
    <w:rsid w:val="003821AC"/>
    <w:rsid w:val="00384C5A"/>
    <w:rsid w:val="003A2765"/>
    <w:rsid w:val="003B6302"/>
    <w:rsid w:val="003C5B80"/>
    <w:rsid w:val="003C615C"/>
    <w:rsid w:val="003D118D"/>
    <w:rsid w:val="003E7102"/>
    <w:rsid w:val="00401C59"/>
    <w:rsid w:val="00405D2E"/>
    <w:rsid w:val="00410BEA"/>
    <w:rsid w:val="0041405F"/>
    <w:rsid w:val="004147D1"/>
    <w:rsid w:val="0041685D"/>
    <w:rsid w:val="004200A3"/>
    <w:rsid w:val="00431450"/>
    <w:rsid w:val="00432AD9"/>
    <w:rsid w:val="00435D0E"/>
    <w:rsid w:val="004400B6"/>
    <w:rsid w:val="0044137E"/>
    <w:rsid w:val="0044151D"/>
    <w:rsid w:val="00442867"/>
    <w:rsid w:val="004507B6"/>
    <w:rsid w:val="004516BE"/>
    <w:rsid w:val="00452B2D"/>
    <w:rsid w:val="0045316E"/>
    <w:rsid w:val="00453AE2"/>
    <w:rsid w:val="004722CD"/>
    <w:rsid w:val="00480AFB"/>
    <w:rsid w:val="004840D4"/>
    <w:rsid w:val="00492016"/>
    <w:rsid w:val="004940E0"/>
    <w:rsid w:val="004A6A6A"/>
    <w:rsid w:val="004A770B"/>
    <w:rsid w:val="004B62FB"/>
    <w:rsid w:val="004C3338"/>
    <w:rsid w:val="004C3C69"/>
    <w:rsid w:val="004C3EBA"/>
    <w:rsid w:val="004D6453"/>
    <w:rsid w:val="004D747E"/>
    <w:rsid w:val="004E3DC1"/>
    <w:rsid w:val="005130D4"/>
    <w:rsid w:val="005166DE"/>
    <w:rsid w:val="005265D4"/>
    <w:rsid w:val="00527674"/>
    <w:rsid w:val="00530E88"/>
    <w:rsid w:val="005340F3"/>
    <w:rsid w:val="005406FC"/>
    <w:rsid w:val="00561EB9"/>
    <w:rsid w:val="00567128"/>
    <w:rsid w:val="00573A43"/>
    <w:rsid w:val="00575C55"/>
    <w:rsid w:val="00587CA5"/>
    <w:rsid w:val="0059410E"/>
    <w:rsid w:val="0059792B"/>
    <w:rsid w:val="005A7ABD"/>
    <w:rsid w:val="005B1CF5"/>
    <w:rsid w:val="005B2C0F"/>
    <w:rsid w:val="005C0B5C"/>
    <w:rsid w:val="005C54BD"/>
    <w:rsid w:val="005E0EB0"/>
    <w:rsid w:val="005E352F"/>
    <w:rsid w:val="005E5370"/>
    <w:rsid w:val="005F4E12"/>
    <w:rsid w:val="005F7B24"/>
    <w:rsid w:val="00610108"/>
    <w:rsid w:val="00611233"/>
    <w:rsid w:val="00627192"/>
    <w:rsid w:val="006403DC"/>
    <w:rsid w:val="00644877"/>
    <w:rsid w:val="00645A9A"/>
    <w:rsid w:val="00646783"/>
    <w:rsid w:val="00664479"/>
    <w:rsid w:val="006666A1"/>
    <w:rsid w:val="006675B5"/>
    <w:rsid w:val="006722F2"/>
    <w:rsid w:val="006850F4"/>
    <w:rsid w:val="006908C7"/>
    <w:rsid w:val="00693032"/>
    <w:rsid w:val="00697464"/>
    <w:rsid w:val="006A7739"/>
    <w:rsid w:val="006B4C5B"/>
    <w:rsid w:val="006B7A14"/>
    <w:rsid w:val="006B7F63"/>
    <w:rsid w:val="006D06BF"/>
    <w:rsid w:val="006D0A38"/>
    <w:rsid w:val="006D254B"/>
    <w:rsid w:val="006D6ACF"/>
    <w:rsid w:val="006E34FF"/>
    <w:rsid w:val="006E5364"/>
    <w:rsid w:val="006F2E9C"/>
    <w:rsid w:val="00705011"/>
    <w:rsid w:val="00725460"/>
    <w:rsid w:val="007254B4"/>
    <w:rsid w:val="00732173"/>
    <w:rsid w:val="00743B65"/>
    <w:rsid w:val="007556E8"/>
    <w:rsid w:val="00765582"/>
    <w:rsid w:val="007669A6"/>
    <w:rsid w:val="00772985"/>
    <w:rsid w:val="00774040"/>
    <w:rsid w:val="00780965"/>
    <w:rsid w:val="00790753"/>
    <w:rsid w:val="0079291C"/>
    <w:rsid w:val="007A0E7A"/>
    <w:rsid w:val="007A4757"/>
    <w:rsid w:val="007B0F9A"/>
    <w:rsid w:val="007B21D3"/>
    <w:rsid w:val="007C038B"/>
    <w:rsid w:val="007C2AA1"/>
    <w:rsid w:val="007C3B52"/>
    <w:rsid w:val="007C554F"/>
    <w:rsid w:val="007C7E38"/>
    <w:rsid w:val="007D29F8"/>
    <w:rsid w:val="007D5222"/>
    <w:rsid w:val="007E5159"/>
    <w:rsid w:val="007E7739"/>
    <w:rsid w:val="007E7E08"/>
    <w:rsid w:val="007F64C3"/>
    <w:rsid w:val="0080312A"/>
    <w:rsid w:val="00810ED9"/>
    <w:rsid w:val="00811909"/>
    <w:rsid w:val="00811E26"/>
    <w:rsid w:val="008151F7"/>
    <w:rsid w:val="0082673E"/>
    <w:rsid w:val="00830545"/>
    <w:rsid w:val="00846E20"/>
    <w:rsid w:val="008677AA"/>
    <w:rsid w:val="0087170B"/>
    <w:rsid w:val="00872875"/>
    <w:rsid w:val="00874017"/>
    <w:rsid w:val="008801D0"/>
    <w:rsid w:val="00881253"/>
    <w:rsid w:val="008843F7"/>
    <w:rsid w:val="0089271D"/>
    <w:rsid w:val="008946A8"/>
    <w:rsid w:val="0089644C"/>
    <w:rsid w:val="008A151C"/>
    <w:rsid w:val="008A3F22"/>
    <w:rsid w:val="008A4FF1"/>
    <w:rsid w:val="008B1F79"/>
    <w:rsid w:val="008B4702"/>
    <w:rsid w:val="008B7912"/>
    <w:rsid w:val="008C28D7"/>
    <w:rsid w:val="008C6C2D"/>
    <w:rsid w:val="008C70D4"/>
    <w:rsid w:val="008D687C"/>
    <w:rsid w:val="008E48EE"/>
    <w:rsid w:val="008F6AF0"/>
    <w:rsid w:val="00901D2B"/>
    <w:rsid w:val="009043CC"/>
    <w:rsid w:val="00904E04"/>
    <w:rsid w:val="009160FD"/>
    <w:rsid w:val="0092105C"/>
    <w:rsid w:val="009250C3"/>
    <w:rsid w:val="00926193"/>
    <w:rsid w:val="00937674"/>
    <w:rsid w:val="00940BD0"/>
    <w:rsid w:val="009667EE"/>
    <w:rsid w:val="0097123C"/>
    <w:rsid w:val="00976B5A"/>
    <w:rsid w:val="009846DF"/>
    <w:rsid w:val="0099298F"/>
    <w:rsid w:val="009966B9"/>
    <w:rsid w:val="00996C33"/>
    <w:rsid w:val="009B2D95"/>
    <w:rsid w:val="009B5B3A"/>
    <w:rsid w:val="009D0EA2"/>
    <w:rsid w:val="009E6E62"/>
    <w:rsid w:val="00A1205D"/>
    <w:rsid w:val="00A327CE"/>
    <w:rsid w:val="00A32DEA"/>
    <w:rsid w:val="00A46659"/>
    <w:rsid w:val="00A60F87"/>
    <w:rsid w:val="00A71ACD"/>
    <w:rsid w:val="00A73139"/>
    <w:rsid w:val="00A73999"/>
    <w:rsid w:val="00A75D3E"/>
    <w:rsid w:val="00A77BF8"/>
    <w:rsid w:val="00A900EA"/>
    <w:rsid w:val="00A92A72"/>
    <w:rsid w:val="00A93F33"/>
    <w:rsid w:val="00A94BC4"/>
    <w:rsid w:val="00AA0678"/>
    <w:rsid w:val="00AA2898"/>
    <w:rsid w:val="00AA5897"/>
    <w:rsid w:val="00AB1A7F"/>
    <w:rsid w:val="00AB28CC"/>
    <w:rsid w:val="00AC07D4"/>
    <w:rsid w:val="00AC1BFA"/>
    <w:rsid w:val="00AD2D24"/>
    <w:rsid w:val="00AE5667"/>
    <w:rsid w:val="00AE6569"/>
    <w:rsid w:val="00AF4CA6"/>
    <w:rsid w:val="00AF510D"/>
    <w:rsid w:val="00B10757"/>
    <w:rsid w:val="00B12C9E"/>
    <w:rsid w:val="00B16287"/>
    <w:rsid w:val="00B32B34"/>
    <w:rsid w:val="00B37C91"/>
    <w:rsid w:val="00B40EBF"/>
    <w:rsid w:val="00B41E2C"/>
    <w:rsid w:val="00B53FB5"/>
    <w:rsid w:val="00B5774A"/>
    <w:rsid w:val="00B61126"/>
    <w:rsid w:val="00B6237C"/>
    <w:rsid w:val="00B7391F"/>
    <w:rsid w:val="00B744E9"/>
    <w:rsid w:val="00B827AD"/>
    <w:rsid w:val="00B84917"/>
    <w:rsid w:val="00B86C11"/>
    <w:rsid w:val="00B90CE5"/>
    <w:rsid w:val="00B9361B"/>
    <w:rsid w:val="00B95DE2"/>
    <w:rsid w:val="00B96C47"/>
    <w:rsid w:val="00BA423D"/>
    <w:rsid w:val="00BB2C06"/>
    <w:rsid w:val="00BB334F"/>
    <w:rsid w:val="00BC74EB"/>
    <w:rsid w:val="00BD469A"/>
    <w:rsid w:val="00BD4A78"/>
    <w:rsid w:val="00BE3C2D"/>
    <w:rsid w:val="00BF7233"/>
    <w:rsid w:val="00C0433E"/>
    <w:rsid w:val="00C046C2"/>
    <w:rsid w:val="00C0694D"/>
    <w:rsid w:val="00C10A93"/>
    <w:rsid w:val="00C15301"/>
    <w:rsid w:val="00C15DE8"/>
    <w:rsid w:val="00C27076"/>
    <w:rsid w:val="00C31EAF"/>
    <w:rsid w:val="00C31F14"/>
    <w:rsid w:val="00C34D1A"/>
    <w:rsid w:val="00C36963"/>
    <w:rsid w:val="00C37B91"/>
    <w:rsid w:val="00C51FF1"/>
    <w:rsid w:val="00C56909"/>
    <w:rsid w:val="00C609C3"/>
    <w:rsid w:val="00C60AFC"/>
    <w:rsid w:val="00C6434D"/>
    <w:rsid w:val="00C66D9D"/>
    <w:rsid w:val="00C72C11"/>
    <w:rsid w:val="00C7444E"/>
    <w:rsid w:val="00C77AAC"/>
    <w:rsid w:val="00C82E8D"/>
    <w:rsid w:val="00C874A9"/>
    <w:rsid w:val="00C97D70"/>
    <w:rsid w:val="00CA2080"/>
    <w:rsid w:val="00CA41D7"/>
    <w:rsid w:val="00CA491A"/>
    <w:rsid w:val="00CB6040"/>
    <w:rsid w:val="00CB7B17"/>
    <w:rsid w:val="00CC12A9"/>
    <w:rsid w:val="00CD2130"/>
    <w:rsid w:val="00CD579B"/>
    <w:rsid w:val="00CE2771"/>
    <w:rsid w:val="00CE66A2"/>
    <w:rsid w:val="00CF463A"/>
    <w:rsid w:val="00D060D1"/>
    <w:rsid w:val="00D10F90"/>
    <w:rsid w:val="00D11AA1"/>
    <w:rsid w:val="00D11BB3"/>
    <w:rsid w:val="00D156BA"/>
    <w:rsid w:val="00D57776"/>
    <w:rsid w:val="00D6481C"/>
    <w:rsid w:val="00D7235D"/>
    <w:rsid w:val="00D726B3"/>
    <w:rsid w:val="00D741CC"/>
    <w:rsid w:val="00D81625"/>
    <w:rsid w:val="00D914D6"/>
    <w:rsid w:val="00D919E8"/>
    <w:rsid w:val="00D96529"/>
    <w:rsid w:val="00DA4C92"/>
    <w:rsid w:val="00DB033B"/>
    <w:rsid w:val="00DB3BD1"/>
    <w:rsid w:val="00DB7A78"/>
    <w:rsid w:val="00DC2D7D"/>
    <w:rsid w:val="00DC3802"/>
    <w:rsid w:val="00DD61E3"/>
    <w:rsid w:val="00DE327E"/>
    <w:rsid w:val="00DE4159"/>
    <w:rsid w:val="00DF26D8"/>
    <w:rsid w:val="00DF392E"/>
    <w:rsid w:val="00E05117"/>
    <w:rsid w:val="00E10029"/>
    <w:rsid w:val="00E2010C"/>
    <w:rsid w:val="00E2764D"/>
    <w:rsid w:val="00E31B0F"/>
    <w:rsid w:val="00E35952"/>
    <w:rsid w:val="00E369E2"/>
    <w:rsid w:val="00E41EBB"/>
    <w:rsid w:val="00E44623"/>
    <w:rsid w:val="00E500E7"/>
    <w:rsid w:val="00E60A9D"/>
    <w:rsid w:val="00E93D07"/>
    <w:rsid w:val="00EB263B"/>
    <w:rsid w:val="00EB6776"/>
    <w:rsid w:val="00EC2100"/>
    <w:rsid w:val="00EC7D17"/>
    <w:rsid w:val="00ED4DE2"/>
    <w:rsid w:val="00EE5F25"/>
    <w:rsid w:val="00EE6F4F"/>
    <w:rsid w:val="00EF0610"/>
    <w:rsid w:val="00EF2229"/>
    <w:rsid w:val="00F06012"/>
    <w:rsid w:val="00F17B01"/>
    <w:rsid w:val="00F211A5"/>
    <w:rsid w:val="00F2506E"/>
    <w:rsid w:val="00F255FE"/>
    <w:rsid w:val="00F32EAA"/>
    <w:rsid w:val="00F366C7"/>
    <w:rsid w:val="00F43341"/>
    <w:rsid w:val="00F466E2"/>
    <w:rsid w:val="00F568D9"/>
    <w:rsid w:val="00F703E7"/>
    <w:rsid w:val="00FA251D"/>
    <w:rsid w:val="00FA4872"/>
    <w:rsid w:val="00FA5FFC"/>
    <w:rsid w:val="00FB292D"/>
    <w:rsid w:val="00FC433E"/>
    <w:rsid w:val="00FC56B7"/>
    <w:rsid w:val="00FD378C"/>
    <w:rsid w:val="00FD3C71"/>
    <w:rsid w:val="00FD43EC"/>
    <w:rsid w:val="00FD5911"/>
    <w:rsid w:val="00FE2EA6"/>
    <w:rsid w:val="00FE3C75"/>
    <w:rsid w:val="00FE500F"/>
    <w:rsid w:val="00FE77AF"/>
    <w:rsid w:val="00FE799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40E9C9E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da-DK"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51F7"/>
    <w:pPr>
      <w:spacing w:before="60" w:after="120"/>
      <w:jc w:val="both"/>
    </w:pPr>
    <w:rPr>
      <w:rFonts w:ascii="Times New Roman" w:hAnsi="Times New Roman"/>
      <w:sz w:val="24"/>
      <w:szCs w:val="24"/>
      <w:lang w:eastAsia="en-GB"/>
    </w:rPr>
  </w:style>
  <w:style w:type="paragraph" w:styleId="Heading1">
    <w:name w:val="heading 1"/>
    <w:basedOn w:val="Normal"/>
    <w:next w:val="Normal"/>
    <w:link w:val="Heading1Char"/>
    <w:uiPriority w:val="99"/>
    <w:qFormat/>
    <w:rsid w:val="001F7F7B"/>
    <w:pPr>
      <w:keepNext/>
      <w:keepLines/>
      <w:spacing w:before="480" w:after="0"/>
      <w:outlineLvl w:val="0"/>
    </w:pPr>
    <w:rPr>
      <w:rFonts w:ascii="Cambria" w:hAnsi="Cambria"/>
      <w:b/>
      <w:bCs/>
      <w:color w:val="365F91"/>
      <w:sz w:val="32"/>
      <w:szCs w:val="32"/>
      <w:lang w:eastAsia="en-US"/>
    </w:rPr>
  </w:style>
  <w:style w:type="paragraph" w:styleId="Heading2">
    <w:name w:val="heading 2"/>
    <w:basedOn w:val="Normal"/>
    <w:next w:val="Normal"/>
    <w:link w:val="Heading2Char"/>
    <w:uiPriority w:val="99"/>
    <w:qFormat/>
    <w:rsid w:val="001F7F7B"/>
    <w:pPr>
      <w:keepNext/>
      <w:keepLines/>
      <w:spacing w:before="120" w:after="0"/>
      <w:ind w:left="646" w:hanging="504"/>
      <w:outlineLvl w:val="1"/>
    </w:pPr>
    <w:rPr>
      <w:b/>
      <w:bCs/>
    </w:rPr>
  </w:style>
  <w:style w:type="paragraph" w:styleId="Heading3">
    <w:name w:val="heading 3"/>
    <w:basedOn w:val="Normal"/>
    <w:next w:val="Normal"/>
    <w:link w:val="Heading3Char"/>
    <w:uiPriority w:val="99"/>
    <w:qFormat/>
    <w:rsid w:val="001F7F7B"/>
    <w:pPr>
      <w:keepNext/>
      <w:keepLines/>
      <w:spacing w:before="200" w:after="0"/>
      <w:outlineLvl w:val="2"/>
    </w:pPr>
    <w:rPr>
      <w:rFonts w:ascii="Cambria" w:hAnsi="Cambria"/>
      <w:b/>
      <w:bCs/>
      <w:color w:val="4F81BD"/>
      <w:sz w:val="22"/>
      <w:szCs w:val="22"/>
      <w:lang w:eastAsia="en-US"/>
    </w:rPr>
  </w:style>
  <w:style w:type="paragraph" w:styleId="Heading4">
    <w:name w:val="heading 4"/>
    <w:basedOn w:val="Normal"/>
    <w:next w:val="Normal"/>
    <w:link w:val="Heading4Char"/>
    <w:uiPriority w:val="99"/>
    <w:qFormat/>
    <w:rsid w:val="001F7F7B"/>
    <w:pPr>
      <w:keepNext/>
      <w:keepLines/>
      <w:spacing w:before="200" w:after="0"/>
      <w:outlineLvl w:val="3"/>
    </w:pPr>
    <w:rPr>
      <w:rFonts w:ascii="Cambria" w:hAnsi="Cambria"/>
      <w:b/>
      <w:bCs/>
      <w:i/>
      <w:iCs/>
      <w:color w:val="4F81BD"/>
      <w:sz w:val="22"/>
      <w:szCs w:val="22"/>
      <w:lang w:eastAsia="en-US"/>
    </w:rPr>
  </w:style>
  <w:style w:type="paragraph" w:styleId="Heading5">
    <w:name w:val="heading 5"/>
    <w:basedOn w:val="Normal"/>
    <w:next w:val="Normal"/>
    <w:link w:val="Heading5Char"/>
    <w:uiPriority w:val="99"/>
    <w:qFormat/>
    <w:rsid w:val="001F7F7B"/>
    <w:pPr>
      <w:keepNext/>
      <w:keepLines/>
      <w:spacing w:before="200" w:after="0"/>
      <w:outlineLvl w:val="4"/>
    </w:pPr>
    <w:rPr>
      <w:rFonts w:ascii="Cambria" w:hAnsi="Cambria"/>
      <w:color w:val="243F60"/>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ource">
    <w:name w:val="Source"/>
    <w:basedOn w:val="Normal"/>
    <w:link w:val="SourceChar"/>
    <w:uiPriority w:val="99"/>
    <w:qFormat/>
    <w:rsid w:val="001F7F7B"/>
    <w:pPr>
      <w:spacing w:before="40" w:after="0"/>
      <w:ind w:left="680" w:hanging="680"/>
    </w:pPr>
    <w:rPr>
      <w:rFonts w:ascii="Arial" w:hAnsi="Arial"/>
      <w:szCs w:val="20"/>
      <w:lang w:eastAsia="el-GR"/>
    </w:rPr>
  </w:style>
  <w:style w:type="character" w:customStyle="1" w:styleId="SourceChar">
    <w:name w:val="Source Char"/>
    <w:link w:val="Source"/>
    <w:uiPriority w:val="99"/>
    <w:locked/>
    <w:rsid w:val="001F7F7B"/>
    <w:rPr>
      <w:rFonts w:ascii="Arial" w:hAnsi="Arial"/>
      <w:sz w:val="24"/>
      <w:szCs w:val="20"/>
      <w:lang w:eastAsia="el-GR"/>
    </w:rPr>
  </w:style>
  <w:style w:type="character" w:customStyle="1" w:styleId="Heading1Char">
    <w:name w:val="Heading 1 Char"/>
    <w:basedOn w:val="DefaultParagraphFont"/>
    <w:link w:val="Heading1"/>
    <w:uiPriority w:val="99"/>
    <w:rsid w:val="001F7F7B"/>
    <w:rPr>
      <w:rFonts w:ascii="Cambria" w:hAnsi="Cambria"/>
      <w:b/>
      <w:bCs/>
      <w:color w:val="365F91"/>
      <w:sz w:val="32"/>
      <w:szCs w:val="32"/>
    </w:rPr>
  </w:style>
  <w:style w:type="character" w:customStyle="1" w:styleId="Heading2Char">
    <w:name w:val="Heading 2 Char"/>
    <w:basedOn w:val="DefaultParagraphFont"/>
    <w:link w:val="Heading2"/>
    <w:uiPriority w:val="99"/>
    <w:rsid w:val="001F7F7B"/>
    <w:rPr>
      <w:rFonts w:ascii="Times New Roman" w:hAnsi="Times New Roman"/>
      <w:b/>
      <w:bCs/>
      <w:sz w:val="24"/>
      <w:szCs w:val="24"/>
      <w:lang w:eastAsia="en-GB"/>
    </w:rPr>
  </w:style>
  <w:style w:type="character" w:customStyle="1" w:styleId="Heading3Char">
    <w:name w:val="Heading 3 Char"/>
    <w:basedOn w:val="DefaultParagraphFont"/>
    <w:link w:val="Heading3"/>
    <w:uiPriority w:val="99"/>
    <w:rsid w:val="001F7F7B"/>
    <w:rPr>
      <w:rFonts w:ascii="Cambria" w:hAnsi="Cambria"/>
      <w:b/>
      <w:bCs/>
      <w:color w:val="4F81BD"/>
    </w:rPr>
  </w:style>
  <w:style w:type="character" w:customStyle="1" w:styleId="Heading4Char">
    <w:name w:val="Heading 4 Char"/>
    <w:basedOn w:val="DefaultParagraphFont"/>
    <w:link w:val="Heading4"/>
    <w:uiPriority w:val="99"/>
    <w:rsid w:val="001F7F7B"/>
    <w:rPr>
      <w:rFonts w:ascii="Cambria" w:hAnsi="Cambria"/>
      <w:b/>
      <w:bCs/>
      <w:i/>
      <w:iCs/>
      <w:color w:val="4F81BD"/>
    </w:rPr>
  </w:style>
  <w:style w:type="character" w:customStyle="1" w:styleId="Heading5Char">
    <w:name w:val="Heading 5 Char"/>
    <w:basedOn w:val="DefaultParagraphFont"/>
    <w:link w:val="Heading5"/>
    <w:uiPriority w:val="99"/>
    <w:rsid w:val="001F7F7B"/>
    <w:rPr>
      <w:rFonts w:ascii="Cambria" w:hAnsi="Cambria"/>
      <w:color w:val="243F60"/>
    </w:rPr>
  </w:style>
  <w:style w:type="paragraph" w:styleId="Caption">
    <w:name w:val="caption"/>
    <w:basedOn w:val="Normal"/>
    <w:next w:val="Normal"/>
    <w:link w:val="CaptionChar"/>
    <w:uiPriority w:val="99"/>
    <w:qFormat/>
    <w:rsid w:val="001F7F7B"/>
    <w:pPr>
      <w:keepNext/>
      <w:spacing w:before="360"/>
      <w:ind w:left="1049" w:hanging="1049"/>
    </w:pPr>
    <w:rPr>
      <w:rFonts w:ascii="Arial" w:hAnsi="Arial"/>
      <w:b/>
      <w:szCs w:val="22"/>
      <w:lang w:eastAsia="el-GR"/>
    </w:rPr>
  </w:style>
  <w:style w:type="character" w:customStyle="1" w:styleId="CaptionChar">
    <w:name w:val="Caption Char"/>
    <w:link w:val="Caption"/>
    <w:uiPriority w:val="99"/>
    <w:locked/>
    <w:rsid w:val="001F7F7B"/>
    <w:rPr>
      <w:rFonts w:ascii="Arial" w:hAnsi="Arial"/>
      <w:b/>
      <w:sz w:val="24"/>
      <w:lang w:eastAsia="el-GR"/>
    </w:rPr>
  </w:style>
  <w:style w:type="character" w:styleId="Strong">
    <w:name w:val="Strong"/>
    <w:basedOn w:val="DefaultParagraphFont"/>
    <w:uiPriority w:val="22"/>
    <w:qFormat/>
    <w:rsid w:val="001F7F7B"/>
    <w:rPr>
      <w:rFonts w:ascii="Times New Roman" w:hAnsi="Times New Roman" w:cs="Times New Roman" w:hint="default"/>
      <w:b/>
      <w:bCs/>
    </w:rPr>
  </w:style>
  <w:style w:type="paragraph" w:styleId="ListParagraph">
    <w:name w:val="List Paragraph"/>
    <w:basedOn w:val="Normal"/>
    <w:uiPriority w:val="34"/>
    <w:qFormat/>
    <w:rsid w:val="001F7F7B"/>
    <w:pPr>
      <w:ind w:left="720"/>
      <w:contextualSpacing/>
    </w:pPr>
  </w:style>
  <w:style w:type="paragraph" w:styleId="Quote">
    <w:name w:val="Quote"/>
    <w:basedOn w:val="Normal"/>
    <w:next w:val="Normal"/>
    <w:link w:val="QuoteChar"/>
    <w:uiPriority w:val="99"/>
    <w:qFormat/>
    <w:rsid w:val="001F7F7B"/>
    <w:rPr>
      <w:rFonts w:ascii="Calibri" w:hAnsi="Calibri"/>
      <w:i/>
      <w:iCs/>
      <w:color w:val="000000"/>
      <w:sz w:val="22"/>
      <w:szCs w:val="22"/>
      <w:lang w:val="da-DK" w:eastAsia="ja-JP"/>
    </w:rPr>
  </w:style>
  <w:style w:type="character" w:customStyle="1" w:styleId="QuoteChar">
    <w:name w:val="Quote Char"/>
    <w:basedOn w:val="DefaultParagraphFont"/>
    <w:link w:val="Quote"/>
    <w:uiPriority w:val="99"/>
    <w:rsid w:val="001F7F7B"/>
    <w:rPr>
      <w:i/>
      <w:iCs/>
      <w:color w:val="000000"/>
      <w:lang w:val="da-DK" w:eastAsia="ja-JP"/>
    </w:rPr>
  </w:style>
  <w:style w:type="paragraph" w:styleId="TOCHeading">
    <w:name w:val="TOC Heading"/>
    <w:basedOn w:val="Heading1"/>
    <w:next w:val="Normal"/>
    <w:uiPriority w:val="99"/>
    <w:qFormat/>
    <w:rsid w:val="001F7F7B"/>
    <w:pPr>
      <w:outlineLvl w:val="9"/>
    </w:pPr>
    <w:rPr>
      <w:lang w:val="da-DK" w:eastAsia="ja-JP"/>
    </w:rPr>
  </w:style>
  <w:style w:type="paragraph" w:styleId="Header">
    <w:name w:val="header"/>
    <w:basedOn w:val="Normal"/>
    <w:link w:val="HeaderChar"/>
    <w:uiPriority w:val="99"/>
    <w:unhideWhenUsed/>
    <w:rsid w:val="008151F7"/>
    <w:pPr>
      <w:tabs>
        <w:tab w:val="center" w:pos="4513"/>
        <w:tab w:val="right" w:pos="9026"/>
      </w:tabs>
      <w:spacing w:before="0" w:after="0"/>
    </w:pPr>
  </w:style>
  <w:style w:type="character" w:customStyle="1" w:styleId="HeaderChar">
    <w:name w:val="Header Char"/>
    <w:basedOn w:val="DefaultParagraphFont"/>
    <w:link w:val="Header"/>
    <w:uiPriority w:val="99"/>
    <w:rsid w:val="008151F7"/>
    <w:rPr>
      <w:rFonts w:ascii="Times New Roman" w:hAnsi="Times New Roman"/>
      <w:sz w:val="24"/>
      <w:szCs w:val="24"/>
      <w:lang w:eastAsia="en-GB"/>
    </w:rPr>
  </w:style>
  <w:style w:type="paragraph" w:styleId="Footer">
    <w:name w:val="footer"/>
    <w:basedOn w:val="Normal"/>
    <w:link w:val="FooterChar"/>
    <w:uiPriority w:val="99"/>
    <w:unhideWhenUsed/>
    <w:rsid w:val="008151F7"/>
    <w:pPr>
      <w:tabs>
        <w:tab w:val="center" w:pos="4513"/>
        <w:tab w:val="right" w:pos="9026"/>
      </w:tabs>
      <w:spacing w:before="0" w:after="0"/>
    </w:pPr>
  </w:style>
  <w:style w:type="character" w:customStyle="1" w:styleId="FooterChar">
    <w:name w:val="Footer Char"/>
    <w:basedOn w:val="DefaultParagraphFont"/>
    <w:link w:val="Footer"/>
    <w:uiPriority w:val="99"/>
    <w:rsid w:val="008151F7"/>
    <w:rPr>
      <w:rFonts w:ascii="Times New Roman" w:hAnsi="Times New Roman"/>
      <w:sz w:val="24"/>
      <w:szCs w:val="24"/>
      <w:lang w:eastAsia="en-GB"/>
    </w:rPr>
  </w:style>
  <w:style w:type="character" w:customStyle="1" w:styleId="FootnoteTextChar">
    <w:name w:val="Footnote Text Char"/>
    <w:aliases w:val="Tekst fusnote Char2 Char Char,Tekst fusnote Char1 Char1 Char Char,Tekst fusnote Char Char Char1 Char Char,Tekst fusnote Char1 Char Char Char Char Char,Tekst fusnote Char Char Char Char Char Char Char,fn Char,Fußnote Char"/>
    <w:basedOn w:val="DefaultParagraphFont"/>
    <w:link w:val="FootnoteText"/>
    <w:uiPriority w:val="99"/>
    <w:semiHidden/>
    <w:locked/>
    <w:rsid w:val="00A32DEA"/>
    <w:rPr>
      <w:sz w:val="20"/>
    </w:rPr>
  </w:style>
  <w:style w:type="paragraph" w:styleId="FootnoteText">
    <w:name w:val="footnote text"/>
    <w:aliases w:val="Tekst fusnote Char2 Char,Tekst fusnote Char1 Char1 Char,Tekst fusnote Char Char Char1 Char,Tekst fusnote Char1 Char Char Char Char,Tekst fusnote Char Char Char Char Char Char,Tekst fusnote Char Char1 Char Char,fn,Fußnote,Footnote Text Blue"/>
    <w:basedOn w:val="Normal"/>
    <w:link w:val="FootnoteTextChar"/>
    <w:uiPriority w:val="99"/>
    <w:semiHidden/>
    <w:unhideWhenUsed/>
    <w:qFormat/>
    <w:rsid w:val="00A32DEA"/>
    <w:pPr>
      <w:spacing w:before="0"/>
      <w:ind w:left="357" w:hanging="357"/>
    </w:pPr>
    <w:rPr>
      <w:rFonts w:ascii="Calibri" w:hAnsi="Calibri"/>
      <w:sz w:val="20"/>
      <w:szCs w:val="22"/>
      <w:lang w:eastAsia="en-US"/>
    </w:rPr>
  </w:style>
  <w:style w:type="character" w:customStyle="1" w:styleId="FootnoteTextChar1">
    <w:name w:val="Footnote Text Char1"/>
    <w:basedOn w:val="DefaultParagraphFont"/>
    <w:uiPriority w:val="99"/>
    <w:semiHidden/>
    <w:rsid w:val="00A32DEA"/>
    <w:rPr>
      <w:rFonts w:ascii="Times New Roman" w:hAnsi="Times New Roman"/>
      <w:sz w:val="20"/>
      <w:szCs w:val="20"/>
      <w:lang w:eastAsia="en-GB"/>
    </w:rPr>
  </w:style>
  <w:style w:type="paragraph" w:customStyle="1" w:styleId="Text1">
    <w:name w:val="Text 1"/>
    <w:basedOn w:val="Normal"/>
    <w:qFormat/>
    <w:rsid w:val="00A32DEA"/>
    <w:pPr>
      <w:spacing w:before="0" w:after="240"/>
      <w:ind w:left="482"/>
    </w:pPr>
    <w:rPr>
      <w:szCs w:val="20"/>
    </w:rPr>
  </w:style>
  <w:style w:type="character" w:styleId="FootnoteReference">
    <w:name w:val="footnote reference"/>
    <w:aliases w:val="Footnote symbol,Odwołanie przypisu,Footnote Reference Number,Footnote Reference Superscript,SUPERS,Times 10 Point,Exposant 3 Point,Footnote,Ref,de nota al pie,-E Fußnotenzeichen,ftref,number,stylish,fr,Footnote Char"/>
    <w:basedOn w:val="DefaultParagraphFont"/>
    <w:link w:val="FootnoteReferenceLVL6"/>
    <w:uiPriority w:val="99"/>
    <w:unhideWhenUsed/>
    <w:qFormat/>
    <w:rsid w:val="00A32DEA"/>
    <w:rPr>
      <w:vertAlign w:val="superscript"/>
    </w:rPr>
  </w:style>
  <w:style w:type="paragraph" w:customStyle="1" w:styleId="FootnoteReferenceLVL6">
    <w:name w:val="Footnote Reference_LVL6"/>
    <w:aliases w:val="Footnote Reference_LVL61,Footnote Reference_LVL62,Footnote Reference_LVL63,Footnote Reference_LVL64,Odwo&lt;0142&gt;anie przypisu,SUPER,BVI fnr Char1 Char"/>
    <w:basedOn w:val="Normal"/>
    <w:next w:val="Normal"/>
    <w:link w:val="FootnoteReference"/>
    <w:uiPriority w:val="99"/>
    <w:rsid w:val="00A32DEA"/>
    <w:pPr>
      <w:spacing w:before="0" w:after="160" w:line="240" w:lineRule="exact"/>
    </w:pPr>
    <w:rPr>
      <w:rFonts w:ascii="Calibri" w:hAnsi="Calibri"/>
      <w:sz w:val="22"/>
      <w:szCs w:val="22"/>
      <w:vertAlign w:val="superscript"/>
      <w:lang w:eastAsia="en-US"/>
    </w:rPr>
  </w:style>
  <w:style w:type="paragraph" w:styleId="Subtitle">
    <w:name w:val="Subtitle"/>
    <w:basedOn w:val="Normal"/>
    <w:next w:val="Normal"/>
    <w:link w:val="SubtitleChar"/>
    <w:qFormat/>
    <w:rsid w:val="00115FF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115FFB"/>
    <w:rPr>
      <w:rFonts w:asciiTheme="minorHAnsi" w:eastAsiaTheme="minorEastAsia" w:hAnsiTheme="minorHAnsi" w:cstheme="minorBidi"/>
      <w:color w:val="5A5A5A" w:themeColor="text1" w:themeTint="A5"/>
      <w:spacing w:val="15"/>
      <w:lang w:eastAsia="en-GB"/>
    </w:rPr>
  </w:style>
  <w:style w:type="paragraph" w:styleId="BalloonText">
    <w:name w:val="Balloon Text"/>
    <w:basedOn w:val="Normal"/>
    <w:link w:val="BalloonTextChar"/>
    <w:uiPriority w:val="99"/>
    <w:semiHidden/>
    <w:unhideWhenUsed/>
    <w:rsid w:val="009966B9"/>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66B9"/>
    <w:rPr>
      <w:rFonts w:ascii="Segoe UI" w:hAnsi="Segoe UI" w:cs="Segoe UI"/>
      <w:sz w:val="18"/>
      <w:szCs w:val="18"/>
      <w:lang w:eastAsia="en-GB"/>
    </w:rPr>
  </w:style>
  <w:style w:type="character" w:styleId="CommentReference">
    <w:name w:val="annotation reference"/>
    <w:basedOn w:val="DefaultParagraphFont"/>
    <w:uiPriority w:val="99"/>
    <w:semiHidden/>
    <w:unhideWhenUsed/>
    <w:rsid w:val="009966B9"/>
    <w:rPr>
      <w:sz w:val="16"/>
      <w:szCs w:val="16"/>
    </w:rPr>
  </w:style>
  <w:style w:type="paragraph" w:styleId="CommentText">
    <w:name w:val="annotation text"/>
    <w:basedOn w:val="Normal"/>
    <w:link w:val="CommentTextChar"/>
    <w:uiPriority w:val="99"/>
    <w:unhideWhenUsed/>
    <w:rsid w:val="009966B9"/>
    <w:rPr>
      <w:sz w:val="20"/>
      <w:szCs w:val="20"/>
    </w:rPr>
  </w:style>
  <w:style w:type="character" w:customStyle="1" w:styleId="CommentTextChar">
    <w:name w:val="Comment Text Char"/>
    <w:basedOn w:val="DefaultParagraphFont"/>
    <w:link w:val="CommentText"/>
    <w:uiPriority w:val="99"/>
    <w:rsid w:val="009966B9"/>
    <w:rPr>
      <w:rFonts w:ascii="Times New Roman" w:hAnsi="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966B9"/>
    <w:rPr>
      <w:b/>
      <w:bCs/>
    </w:rPr>
  </w:style>
  <w:style w:type="character" w:customStyle="1" w:styleId="CommentSubjectChar">
    <w:name w:val="Comment Subject Char"/>
    <w:basedOn w:val="CommentTextChar"/>
    <w:link w:val="CommentSubject"/>
    <w:uiPriority w:val="99"/>
    <w:semiHidden/>
    <w:rsid w:val="009966B9"/>
    <w:rPr>
      <w:rFonts w:ascii="Times New Roman" w:hAnsi="Times New Roman"/>
      <w:b/>
      <w:bCs/>
      <w:sz w:val="20"/>
      <w:szCs w:val="20"/>
      <w:lang w:eastAsia="en-GB"/>
    </w:rPr>
  </w:style>
  <w:style w:type="table" w:styleId="TableGrid">
    <w:name w:val="Table Grid"/>
    <w:basedOn w:val="TableNormal"/>
    <w:uiPriority w:val="59"/>
    <w:rsid w:val="00B1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3-Accent21">
    <w:name w:val="Grid Table 3 - Accent 21"/>
    <w:basedOn w:val="TableNormal"/>
    <w:uiPriority w:val="48"/>
    <w:rsid w:val="00FC433E"/>
    <w:rPr>
      <w:rFonts w:asciiTheme="minorHAnsi" w:eastAsiaTheme="minorHAnsi" w:hAnsiTheme="minorHAnsi" w:cstheme="minorBidi"/>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1Light-Accent3">
    <w:name w:val="Grid Table 1 Light Accent 3"/>
    <w:basedOn w:val="TableNormal"/>
    <w:uiPriority w:val="46"/>
    <w:rsid w:val="005340F3"/>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340F3"/>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3-Accent5">
    <w:name w:val="Grid Table 3 Accent 5"/>
    <w:basedOn w:val="TableNormal"/>
    <w:uiPriority w:val="48"/>
    <w:rsid w:val="005340F3"/>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5Dark-Accent5">
    <w:name w:val="Grid Table 5 Dark Accent 5"/>
    <w:basedOn w:val="TableNormal"/>
    <w:uiPriority w:val="50"/>
    <w:rsid w:val="005340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ListTable5Dark-Accent5">
    <w:name w:val="List Table 5 Dark Accent 5"/>
    <w:basedOn w:val="TableNormal"/>
    <w:uiPriority w:val="50"/>
    <w:rsid w:val="005340F3"/>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customStyle="1" w:styleId="highlight">
    <w:name w:val="highlight"/>
    <w:basedOn w:val="DefaultParagraphFont"/>
    <w:rsid w:val="00A327CE"/>
  </w:style>
  <w:style w:type="paragraph" w:customStyle="1" w:styleId="Briefinglist1">
    <w:name w:val="Briefing list 1"/>
    <w:basedOn w:val="Normal"/>
    <w:rsid w:val="00C66D9D"/>
    <w:pPr>
      <w:keepLines/>
      <w:numPr>
        <w:numId w:val="1"/>
      </w:numPr>
      <w:spacing w:before="0"/>
    </w:pPr>
    <w:rPr>
      <w:rFonts w:ascii="Arial" w:hAnsi="Arial" w:cs="Arial"/>
      <w:sz w:val="22"/>
      <w:lang w:eastAsia="en-US"/>
    </w:rPr>
  </w:style>
  <w:style w:type="paragraph" w:customStyle="1" w:styleId="Briefingtext">
    <w:name w:val="Briefing text"/>
    <w:basedOn w:val="Normal"/>
    <w:rsid w:val="00F366C7"/>
    <w:pPr>
      <w:spacing w:before="0" w:after="240" w:line="256" w:lineRule="auto"/>
    </w:pPr>
    <w:rPr>
      <w:rFonts w:ascii="Arial" w:hAnsi="Arial" w:cs="Arial"/>
      <w:color w:val="000000"/>
      <w:kern w:val="28"/>
      <w:sz w:val="22"/>
      <w:szCs w:val="22"/>
      <w14:ligatures w14:val="standard"/>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140894">
      <w:bodyDiv w:val="1"/>
      <w:marLeft w:val="0"/>
      <w:marRight w:val="0"/>
      <w:marTop w:val="0"/>
      <w:marBottom w:val="0"/>
      <w:divBdr>
        <w:top w:val="none" w:sz="0" w:space="0" w:color="auto"/>
        <w:left w:val="none" w:sz="0" w:space="0" w:color="auto"/>
        <w:bottom w:val="none" w:sz="0" w:space="0" w:color="auto"/>
        <w:right w:val="none" w:sz="0" w:space="0" w:color="auto"/>
      </w:divBdr>
    </w:div>
    <w:div w:id="209611096">
      <w:bodyDiv w:val="1"/>
      <w:marLeft w:val="0"/>
      <w:marRight w:val="0"/>
      <w:marTop w:val="0"/>
      <w:marBottom w:val="0"/>
      <w:divBdr>
        <w:top w:val="none" w:sz="0" w:space="0" w:color="auto"/>
        <w:left w:val="none" w:sz="0" w:space="0" w:color="auto"/>
        <w:bottom w:val="none" w:sz="0" w:space="0" w:color="auto"/>
        <w:right w:val="none" w:sz="0" w:space="0" w:color="auto"/>
      </w:divBdr>
    </w:div>
    <w:div w:id="240146536">
      <w:bodyDiv w:val="1"/>
      <w:marLeft w:val="0"/>
      <w:marRight w:val="0"/>
      <w:marTop w:val="0"/>
      <w:marBottom w:val="0"/>
      <w:divBdr>
        <w:top w:val="none" w:sz="0" w:space="0" w:color="auto"/>
        <w:left w:val="none" w:sz="0" w:space="0" w:color="auto"/>
        <w:bottom w:val="none" w:sz="0" w:space="0" w:color="auto"/>
        <w:right w:val="none" w:sz="0" w:space="0" w:color="auto"/>
      </w:divBdr>
    </w:div>
    <w:div w:id="503015661">
      <w:bodyDiv w:val="1"/>
      <w:marLeft w:val="0"/>
      <w:marRight w:val="0"/>
      <w:marTop w:val="0"/>
      <w:marBottom w:val="0"/>
      <w:divBdr>
        <w:top w:val="none" w:sz="0" w:space="0" w:color="auto"/>
        <w:left w:val="none" w:sz="0" w:space="0" w:color="auto"/>
        <w:bottom w:val="none" w:sz="0" w:space="0" w:color="auto"/>
        <w:right w:val="none" w:sz="0" w:space="0" w:color="auto"/>
      </w:divBdr>
    </w:div>
    <w:div w:id="561991723">
      <w:bodyDiv w:val="1"/>
      <w:marLeft w:val="0"/>
      <w:marRight w:val="0"/>
      <w:marTop w:val="0"/>
      <w:marBottom w:val="0"/>
      <w:divBdr>
        <w:top w:val="none" w:sz="0" w:space="0" w:color="auto"/>
        <w:left w:val="none" w:sz="0" w:space="0" w:color="auto"/>
        <w:bottom w:val="none" w:sz="0" w:space="0" w:color="auto"/>
        <w:right w:val="none" w:sz="0" w:space="0" w:color="auto"/>
      </w:divBdr>
    </w:div>
    <w:div w:id="868492322">
      <w:bodyDiv w:val="1"/>
      <w:marLeft w:val="0"/>
      <w:marRight w:val="0"/>
      <w:marTop w:val="0"/>
      <w:marBottom w:val="0"/>
      <w:divBdr>
        <w:top w:val="none" w:sz="0" w:space="0" w:color="auto"/>
        <w:left w:val="none" w:sz="0" w:space="0" w:color="auto"/>
        <w:bottom w:val="none" w:sz="0" w:space="0" w:color="auto"/>
        <w:right w:val="none" w:sz="0" w:space="0" w:color="auto"/>
      </w:divBdr>
    </w:div>
    <w:div w:id="870847826">
      <w:bodyDiv w:val="1"/>
      <w:marLeft w:val="0"/>
      <w:marRight w:val="0"/>
      <w:marTop w:val="0"/>
      <w:marBottom w:val="0"/>
      <w:divBdr>
        <w:top w:val="none" w:sz="0" w:space="0" w:color="auto"/>
        <w:left w:val="none" w:sz="0" w:space="0" w:color="auto"/>
        <w:bottom w:val="none" w:sz="0" w:space="0" w:color="auto"/>
        <w:right w:val="none" w:sz="0" w:space="0" w:color="auto"/>
      </w:divBdr>
    </w:div>
    <w:div w:id="994071441">
      <w:bodyDiv w:val="1"/>
      <w:marLeft w:val="0"/>
      <w:marRight w:val="0"/>
      <w:marTop w:val="0"/>
      <w:marBottom w:val="0"/>
      <w:divBdr>
        <w:top w:val="none" w:sz="0" w:space="0" w:color="auto"/>
        <w:left w:val="none" w:sz="0" w:space="0" w:color="auto"/>
        <w:bottom w:val="none" w:sz="0" w:space="0" w:color="auto"/>
        <w:right w:val="none" w:sz="0" w:space="0" w:color="auto"/>
      </w:divBdr>
    </w:div>
    <w:div w:id="995303665">
      <w:bodyDiv w:val="1"/>
      <w:marLeft w:val="0"/>
      <w:marRight w:val="0"/>
      <w:marTop w:val="0"/>
      <w:marBottom w:val="0"/>
      <w:divBdr>
        <w:top w:val="none" w:sz="0" w:space="0" w:color="auto"/>
        <w:left w:val="none" w:sz="0" w:space="0" w:color="auto"/>
        <w:bottom w:val="none" w:sz="0" w:space="0" w:color="auto"/>
        <w:right w:val="none" w:sz="0" w:space="0" w:color="auto"/>
      </w:divBdr>
    </w:div>
    <w:div w:id="1023705043">
      <w:bodyDiv w:val="1"/>
      <w:marLeft w:val="0"/>
      <w:marRight w:val="0"/>
      <w:marTop w:val="0"/>
      <w:marBottom w:val="0"/>
      <w:divBdr>
        <w:top w:val="none" w:sz="0" w:space="0" w:color="auto"/>
        <w:left w:val="none" w:sz="0" w:space="0" w:color="auto"/>
        <w:bottom w:val="none" w:sz="0" w:space="0" w:color="auto"/>
        <w:right w:val="none" w:sz="0" w:space="0" w:color="auto"/>
      </w:divBdr>
    </w:div>
    <w:div w:id="1027870285">
      <w:bodyDiv w:val="1"/>
      <w:marLeft w:val="0"/>
      <w:marRight w:val="0"/>
      <w:marTop w:val="0"/>
      <w:marBottom w:val="0"/>
      <w:divBdr>
        <w:top w:val="none" w:sz="0" w:space="0" w:color="auto"/>
        <w:left w:val="none" w:sz="0" w:space="0" w:color="auto"/>
        <w:bottom w:val="none" w:sz="0" w:space="0" w:color="auto"/>
        <w:right w:val="none" w:sz="0" w:space="0" w:color="auto"/>
      </w:divBdr>
    </w:div>
    <w:div w:id="1493138053">
      <w:bodyDiv w:val="1"/>
      <w:marLeft w:val="0"/>
      <w:marRight w:val="0"/>
      <w:marTop w:val="0"/>
      <w:marBottom w:val="0"/>
      <w:divBdr>
        <w:top w:val="none" w:sz="0" w:space="0" w:color="auto"/>
        <w:left w:val="none" w:sz="0" w:space="0" w:color="auto"/>
        <w:bottom w:val="none" w:sz="0" w:space="0" w:color="auto"/>
        <w:right w:val="none" w:sz="0" w:space="0" w:color="auto"/>
      </w:divBdr>
    </w:div>
    <w:div w:id="1522284965">
      <w:bodyDiv w:val="1"/>
      <w:marLeft w:val="0"/>
      <w:marRight w:val="0"/>
      <w:marTop w:val="0"/>
      <w:marBottom w:val="0"/>
      <w:divBdr>
        <w:top w:val="none" w:sz="0" w:space="0" w:color="auto"/>
        <w:left w:val="none" w:sz="0" w:space="0" w:color="auto"/>
        <w:bottom w:val="none" w:sz="0" w:space="0" w:color="auto"/>
        <w:right w:val="none" w:sz="0" w:space="0" w:color="auto"/>
      </w:divBdr>
    </w:div>
    <w:div w:id="1626890285">
      <w:bodyDiv w:val="1"/>
      <w:marLeft w:val="0"/>
      <w:marRight w:val="0"/>
      <w:marTop w:val="0"/>
      <w:marBottom w:val="0"/>
      <w:divBdr>
        <w:top w:val="none" w:sz="0" w:space="0" w:color="auto"/>
        <w:left w:val="none" w:sz="0" w:space="0" w:color="auto"/>
        <w:bottom w:val="none" w:sz="0" w:space="0" w:color="auto"/>
        <w:right w:val="none" w:sz="0" w:space="0" w:color="auto"/>
      </w:divBdr>
    </w:div>
    <w:div w:id="1634361809">
      <w:bodyDiv w:val="1"/>
      <w:marLeft w:val="0"/>
      <w:marRight w:val="0"/>
      <w:marTop w:val="0"/>
      <w:marBottom w:val="0"/>
      <w:divBdr>
        <w:top w:val="none" w:sz="0" w:space="0" w:color="auto"/>
        <w:left w:val="none" w:sz="0" w:space="0" w:color="auto"/>
        <w:bottom w:val="none" w:sz="0" w:space="0" w:color="auto"/>
        <w:right w:val="none" w:sz="0" w:space="0" w:color="auto"/>
      </w:divBdr>
    </w:div>
    <w:div w:id="1638947482">
      <w:bodyDiv w:val="1"/>
      <w:marLeft w:val="0"/>
      <w:marRight w:val="0"/>
      <w:marTop w:val="0"/>
      <w:marBottom w:val="0"/>
      <w:divBdr>
        <w:top w:val="none" w:sz="0" w:space="0" w:color="auto"/>
        <w:left w:val="none" w:sz="0" w:space="0" w:color="auto"/>
        <w:bottom w:val="none" w:sz="0" w:space="0" w:color="auto"/>
        <w:right w:val="none" w:sz="0" w:space="0" w:color="auto"/>
      </w:divBdr>
    </w:div>
    <w:div w:id="1796026017">
      <w:bodyDiv w:val="1"/>
      <w:marLeft w:val="0"/>
      <w:marRight w:val="0"/>
      <w:marTop w:val="0"/>
      <w:marBottom w:val="0"/>
      <w:divBdr>
        <w:top w:val="none" w:sz="0" w:space="0" w:color="auto"/>
        <w:left w:val="none" w:sz="0" w:space="0" w:color="auto"/>
        <w:bottom w:val="none" w:sz="0" w:space="0" w:color="auto"/>
        <w:right w:val="none" w:sz="0" w:space="0" w:color="auto"/>
      </w:divBdr>
    </w:div>
    <w:div w:id="2026010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081208EEDCFC843807B22F6F2C1FEC1" ma:contentTypeVersion="15" ma:contentTypeDescription="Create a new document." ma:contentTypeScope="" ma:versionID="f00b3df5ab4125de076a6118af11f1a1">
  <xsd:schema xmlns:xsd="http://www.w3.org/2001/XMLSchema" xmlns:xs="http://www.w3.org/2001/XMLSchema" xmlns:p="http://schemas.microsoft.com/office/2006/metadata/properties" xmlns:ns2="d2efb67e-a73a-4854-91ed-02b4abe1649e" xmlns:ns3="1b1fca5a-21d0-43aa-863b-526438e901f5" targetNamespace="http://schemas.microsoft.com/office/2006/metadata/properties" ma:root="true" ma:fieldsID="c7f61680ea2bee05116aca8857cc1bb3" ns2:_="" ns3:_="">
    <xsd:import namespace="d2efb67e-a73a-4854-91ed-02b4abe1649e"/>
    <xsd:import namespace="1b1fca5a-21d0-43aa-863b-526438e901f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efb67e-a73a-4854-91ed-02b4abe164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5936872-4c25-49c5-bd5d-199fb01e78ed"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b1fca5a-21d0-43aa-863b-526438e901f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2efb67e-a73a-4854-91ed-02b4abe1649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E3360AB-07C4-41AD-B33C-A9ED01B34221}">
  <ds:schemaRefs>
    <ds:schemaRef ds:uri="http://schemas.openxmlformats.org/officeDocument/2006/bibliography"/>
  </ds:schemaRefs>
</ds:datastoreItem>
</file>

<file path=customXml/itemProps2.xml><?xml version="1.0" encoding="utf-8"?>
<ds:datastoreItem xmlns:ds="http://schemas.openxmlformats.org/officeDocument/2006/customXml" ds:itemID="{72318072-A87D-4B1D-B014-C7B6ED539F5F}"/>
</file>

<file path=customXml/itemProps3.xml><?xml version="1.0" encoding="utf-8"?>
<ds:datastoreItem xmlns:ds="http://schemas.openxmlformats.org/officeDocument/2006/customXml" ds:itemID="{9176B91B-381F-42AD-B93A-DB22654209A2}"/>
</file>

<file path=customXml/itemProps4.xml><?xml version="1.0" encoding="utf-8"?>
<ds:datastoreItem xmlns:ds="http://schemas.openxmlformats.org/officeDocument/2006/customXml" ds:itemID="{CB6E71C5-7F50-4B79-B049-C6DB14ECB5EF}"/>
</file>

<file path=docProps/app.xml><?xml version="1.0" encoding="utf-8"?>
<Properties xmlns="http://schemas.openxmlformats.org/officeDocument/2006/extended-properties" xmlns:vt="http://schemas.openxmlformats.org/officeDocument/2006/docPropsVTypes">
  <Template>Normal</Template>
  <TotalTime>0</TotalTime>
  <Pages>5</Pages>
  <Words>1470</Words>
  <Characters>8659</Characters>
  <Application>Microsoft Office Word</Application>
  <DocSecurity>4</DocSecurity>
  <Lines>154</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2020-11-23T14:52:00Z</dcterms:created>
  <dcterms:modified xsi:type="dcterms:W3CDTF">2020-11-23T14:52:00Z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0x010100F081208EEDCFC843807B22F6F2C1FEC1</vt:lpwstr>
  </property>
</Properties>
</file>