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PRASMJU PILNVEIDES PAKTS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 xml:space="preserve">Lai maksimāli palielinātu ietekmi, ko rada ieguldījumi prasmēs, kopīgas rīcības veicināšanai ir milzu iespējas. Prasmju pilnveides politika un darbības ir kopīgas daudzām iesaistītajām personām. Uzņēmumi, darba ņēmēji, izglītības un apmācības sniedzēji, valsts, reģionālās un vietējās iestādes, tirdzniecības palātas un nodarbinātības dienesti ir tikai daļa no tiem, kas palīdz īstenot prasmju pilnveidi un </w:t>
      </w:r>
      <w:proofErr w:type="spellStart"/>
      <w:r>
        <w:rPr>
          <w:rFonts w:ascii="EC Square Sans Pro" w:hAnsi="EC Square Sans Pro"/>
        </w:rPr>
        <w:t>pārkvalifikāciju</w:t>
      </w:r>
      <w:proofErr w:type="spellEnd"/>
      <w:r>
        <w:rPr>
          <w:rFonts w:ascii="EC Square Sans Pro" w:hAnsi="EC Square Sans Pro"/>
        </w:rPr>
        <w:t>. Saskaņota rīcība var viest skaidrību cilvēkiem un uzņēmumiem visā vērtību ķēdē, kā arī samazināt izmaksas, un tā palīdz koncentrēties uz prioritātēm.</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Tāpēc Komisija ir sagatavojusi Prasmju pilnveides </w:t>
      </w:r>
      <w:proofErr w:type="spellStart"/>
      <w:r>
        <w:rPr>
          <w:rFonts w:ascii="EC Square Sans Pro" w:hAnsi="EC Square Sans Pro"/>
        </w:rPr>
        <w:t>paktu</w:t>
      </w:r>
      <w:proofErr w:type="spellEnd"/>
      <w:r>
        <w:rPr>
          <w:rFonts w:ascii="EC Square Sans Pro" w:hAnsi="EC Square Sans Pro"/>
        </w:rPr>
        <w:t xml:space="preserve"> — kopīgu apņemšanos un pieeju prasmju pilnveidošanai. </w:t>
      </w:r>
      <w:proofErr w:type="spellStart"/>
      <w:r>
        <w:rPr>
          <w:rFonts w:ascii="EC Square Sans Pro" w:hAnsi="EC Square Sans Pro"/>
        </w:rPr>
        <w:t>Pakta</w:t>
      </w:r>
      <w:proofErr w:type="spellEnd"/>
      <w:r>
        <w:rPr>
          <w:rFonts w:ascii="EC Square Sans Pro" w:hAnsi="EC Square Sans Pro"/>
        </w:rPr>
        <w:t xml:space="preserve"> stingrs pamats ir Eiropas sociālo tiesību pīlāra principi, un tas atbalsta zaļā kursa un digitālās pārveides mērķus, kā izklāstīts Komisijas paziņojumā “Spēcīga sociālā Eiropa taisnīgai pārejai”.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proofErr w:type="spellStart"/>
      <w:r>
        <w:rPr>
          <w:rFonts w:ascii="EC Square Sans Pro" w:hAnsi="EC Square Sans Pro"/>
        </w:rPr>
        <w:t>Pakta</w:t>
      </w:r>
      <w:proofErr w:type="spellEnd"/>
      <w:r>
        <w:rPr>
          <w:rFonts w:ascii="EC Square Sans Pro" w:hAnsi="EC Square Sans Pro"/>
        </w:rPr>
        <w:t xml:space="preserve"> mērķis ir piesaistīt privātā un publiskā sektora ieinteresētās personas un mudināt tās veikt konkrētus pasākumus darbspējas vecuma cilvēku prasmju pilnveidei un </w:t>
      </w:r>
      <w:proofErr w:type="spellStart"/>
      <w:r>
        <w:rPr>
          <w:rFonts w:ascii="EC Square Sans Pro" w:hAnsi="EC Square Sans Pro"/>
        </w:rPr>
        <w:t>pārkvalifikācijai</w:t>
      </w:r>
      <w:proofErr w:type="spellEnd"/>
      <w:r>
        <w:rPr>
          <w:rFonts w:ascii="EC Square Sans Pro" w:hAnsi="EC Square Sans Pro"/>
        </w:rPr>
        <w:t xml:space="preserve"> un attiecīgā gadījumā apvienot centienus partnerībās.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 xml:space="preserve">Pievienošanās </w:t>
      </w:r>
      <w:proofErr w:type="spellStart"/>
      <w:r>
        <w:rPr>
          <w:rFonts w:ascii="EC Square Sans Pro" w:hAnsi="EC Square Sans Pro"/>
          <w:b/>
        </w:rPr>
        <w:t>paktam</w:t>
      </w:r>
      <w:proofErr w:type="spellEnd"/>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Visas ieinteresētās personas, kas pievienojas </w:t>
      </w:r>
      <w:proofErr w:type="spellStart"/>
      <w:r>
        <w:rPr>
          <w:rFonts w:ascii="EC Square Sans Pro" w:hAnsi="EC Square Sans Pro"/>
        </w:rPr>
        <w:t>paktam</w:t>
      </w:r>
      <w:proofErr w:type="spellEnd"/>
      <w:r>
        <w:rPr>
          <w:rFonts w:ascii="EC Square Sans Pro" w:hAnsi="EC Square Sans Pro"/>
        </w:rPr>
        <w:t xml:space="preserve">, paraksta hartu un tās galvenos principus, kurus tās piekrīt ievērot un īstenot.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proofErr w:type="spellStart"/>
      <w:r>
        <w:rPr>
          <w:rFonts w:ascii="EC Square Sans Pro" w:hAnsi="EC Square Sans Pro"/>
          <w:sz w:val="22"/>
          <w:szCs w:val="22"/>
        </w:rPr>
        <w:t>Pakta</w:t>
      </w:r>
      <w:proofErr w:type="spellEnd"/>
      <w:r>
        <w:rPr>
          <w:rFonts w:ascii="EC Square Sans Pro" w:hAnsi="EC Square Sans Pro"/>
          <w:sz w:val="22"/>
          <w:szCs w:val="22"/>
        </w:rPr>
        <w:t xml:space="preserve"> parakstītāji tiek aicināti savu apņemšanos izteikt konkrētās saistībās attiecībā uz prasmju pilnveidi un </w:t>
      </w:r>
      <w:proofErr w:type="spellStart"/>
      <w:r>
        <w:rPr>
          <w:rFonts w:ascii="EC Square Sans Pro" w:hAnsi="EC Square Sans Pro"/>
          <w:sz w:val="22"/>
          <w:szCs w:val="22"/>
        </w:rPr>
        <w:t>pārkvalifikāciju</w:t>
      </w:r>
      <w:proofErr w:type="spellEnd"/>
      <w:r>
        <w:rPr>
          <w:rFonts w:ascii="EC Square Sans Pro" w:hAnsi="EC Square Sans Pro"/>
          <w:sz w:val="22"/>
          <w:szCs w:val="22"/>
        </w:rPr>
        <w:t>. Saistībām ir jāatbilst galvenajiem principiem, un tās var veidot, pamatojoties uz vairākiem veicinošiem pasākumiem, kas atbilst konkrētiem šo dažādo principu īstenošanas veidiem.</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Saistību izpildes uzraudzība notiek, izmantojot vismaz vienu galveno darbības rādītāju, piemēram, to cilvēku skaitu, kuri piedalās prasmju pilnveidē vai </w:t>
      </w:r>
      <w:proofErr w:type="spellStart"/>
      <w:r>
        <w:rPr>
          <w:rFonts w:ascii="EC Square Sans Pro" w:hAnsi="EC Square Sans Pro"/>
          <w:sz w:val="22"/>
          <w:szCs w:val="22"/>
        </w:rPr>
        <w:t>pārkvalifikācijā</w:t>
      </w:r>
      <w:proofErr w:type="spellEnd"/>
      <w:r>
        <w:rPr>
          <w:rFonts w:ascii="EC Square Sans Pro" w:hAnsi="EC Square Sans Pro"/>
          <w:sz w:val="22"/>
          <w:szCs w:val="22"/>
        </w:rPr>
        <w:t>.</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Hartas pamatprincipi</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Ikvienam pieejamas mūžizglītības kultūras veicināšana.</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Spēcīgu prasmju partnerību veidošana.</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Prasmju piedāvājuma un pieprasījuma uzraudzība un nepieciešamo prasmju prognozēšana.</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Cīņa pret diskrimināciju, atbalsts dzimumu līdztiesībai un iespēju vienlīdzībai.</w:t>
      </w:r>
    </w:p>
    <w:p w14:paraId="41AED67E" w14:textId="77777777" w:rsidR="000D72F3" w:rsidRPr="0059792B" w:rsidRDefault="000D72F3" w:rsidP="000D72F3">
      <w:pPr>
        <w:widowControl w:val="0"/>
        <w:rPr>
          <w:rFonts w:ascii="EC Square Sans Pro" w:hAnsi="EC Square Sans Pro" w:cs="Calibri"/>
          <w:b/>
          <w:sz w:val="22"/>
          <w:szCs w:val="22"/>
        </w:rPr>
      </w:pPr>
      <w:proofErr w:type="spellStart"/>
      <w:r>
        <w:rPr>
          <w:rFonts w:ascii="EC Square Sans Pro" w:hAnsi="EC Square Sans Pro"/>
          <w:b/>
          <w:sz w:val="22"/>
          <w:szCs w:val="22"/>
        </w:rPr>
        <w:t>Paktu</w:t>
      </w:r>
      <w:proofErr w:type="spellEnd"/>
      <w:r>
        <w:rPr>
          <w:rFonts w:ascii="EC Square Sans Pro" w:hAnsi="EC Square Sans Pro"/>
          <w:b/>
          <w:sz w:val="22"/>
          <w:szCs w:val="22"/>
        </w:rPr>
        <w:t xml:space="preserve"> var īstenot:</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atsevišķi uzņēmumi vai citas privātas vai publiskas organizācijas,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reģionālas vai vietējas partnerības,</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nozares mēroga vai starpnozaru partnerības.</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lastRenderedPageBreak/>
        <w:t xml:space="preserve">Atbalsts </w:t>
      </w:r>
      <w:proofErr w:type="spellStart"/>
      <w:r>
        <w:rPr>
          <w:rFonts w:ascii="EC Square Sans Pro" w:hAnsi="EC Square Sans Pro"/>
          <w:b/>
          <w:sz w:val="22"/>
          <w:szCs w:val="22"/>
        </w:rPr>
        <w:t>pakta</w:t>
      </w:r>
      <w:proofErr w:type="spellEnd"/>
      <w:r>
        <w:rPr>
          <w:rFonts w:ascii="EC Square Sans Pro" w:hAnsi="EC Square Sans Pro"/>
          <w:b/>
          <w:sz w:val="22"/>
          <w:szCs w:val="22"/>
        </w:rPr>
        <w:t xml:space="preserve"> dalībniekiem</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 xml:space="preserve">No 2021. gada Komisija atbalstīs </w:t>
      </w:r>
      <w:proofErr w:type="spellStart"/>
      <w:r>
        <w:rPr>
          <w:rFonts w:ascii="EC Square Sans Pro" w:hAnsi="EC Square Sans Pro"/>
          <w:bCs/>
          <w:sz w:val="22"/>
          <w:szCs w:val="22"/>
        </w:rPr>
        <w:t>pakta</w:t>
      </w:r>
      <w:proofErr w:type="spellEnd"/>
      <w:r>
        <w:rPr>
          <w:rFonts w:ascii="EC Square Sans Pro" w:hAnsi="EC Square Sans Pro"/>
          <w:bCs/>
          <w:sz w:val="22"/>
          <w:szCs w:val="22"/>
        </w:rPr>
        <w:t xml:space="preserve"> parakstītājus, izmantojot šādus īpašus dienestus.</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Tīklošanās</w:t>
      </w:r>
      <w:r>
        <w:rPr>
          <w:rFonts w:ascii="EC Square Sans Pro" w:hAnsi="EC Square Sans Pro"/>
          <w:b/>
          <w:bCs/>
          <w:sz w:val="22"/>
          <w:szCs w:val="22"/>
        </w:rPr>
        <w:t xml:space="preserve"> centrs</w:t>
      </w:r>
      <w:r>
        <w:rPr>
          <w:rFonts w:ascii="EC Square Sans Pro" w:hAnsi="EC Square Sans Pro"/>
          <w:bCs/>
          <w:sz w:val="22"/>
          <w:szCs w:val="22"/>
        </w:rPr>
        <w:t xml:space="preserve">, kas nodrošinās: atbalstu partneru meklēšanā un partnerību pirmajās sanāksmēs; sasaisti ar esošajiem ES instrumentiem, piemēram, </w:t>
      </w:r>
      <w:proofErr w:type="spellStart"/>
      <w:r>
        <w:rPr>
          <w:rFonts w:ascii="EC Square Sans Pro" w:hAnsi="EC Square Sans Pro"/>
          <w:bCs/>
          <w:i/>
          <w:iCs/>
          <w:sz w:val="22"/>
          <w:szCs w:val="22"/>
        </w:rPr>
        <w:t>Europass</w:t>
      </w:r>
      <w:proofErr w:type="spellEnd"/>
      <w:r>
        <w:rPr>
          <w:rFonts w:ascii="EC Square Sans Pro" w:hAnsi="EC Square Sans Pro"/>
          <w:bCs/>
          <w:sz w:val="22"/>
          <w:szCs w:val="22"/>
        </w:rPr>
        <w:t xml:space="preserve">, ES prasmju panorāmu, </w:t>
      </w:r>
      <w:r>
        <w:rPr>
          <w:rFonts w:ascii="EC Square Sans Pro" w:hAnsi="EC Square Sans Pro"/>
          <w:bCs/>
          <w:i/>
          <w:iCs/>
          <w:sz w:val="22"/>
          <w:szCs w:val="22"/>
        </w:rPr>
        <w:t>EURES</w:t>
      </w:r>
      <w:r>
        <w:rPr>
          <w:rFonts w:ascii="EC Square Sans Pro" w:hAnsi="EC Square Sans Pro"/>
          <w:bCs/>
          <w:sz w:val="22"/>
          <w:szCs w:val="22"/>
        </w:rPr>
        <w:t xml:space="preserve"> un valstu nodarbinātības dienestu tīklu; </w:t>
      </w:r>
      <w:proofErr w:type="spellStart"/>
      <w:r>
        <w:rPr>
          <w:rFonts w:ascii="EC Square Sans Pro" w:hAnsi="EC Square Sans Pro"/>
          <w:bCs/>
          <w:sz w:val="22"/>
          <w:szCs w:val="22"/>
        </w:rPr>
        <w:t>pakta</w:t>
      </w:r>
      <w:proofErr w:type="spellEnd"/>
      <w:r>
        <w:rPr>
          <w:rFonts w:ascii="EC Square Sans Pro" w:hAnsi="EC Square Sans Pro"/>
          <w:bCs/>
          <w:sz w:val="22"/>
          <w:szCs w:val="22"/>
        </w:rPr>
        <w:t xml:space="preserve"> dalībnieku pasākumu popularizēšanu.</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Zināšanu</w:t>
      </w:r>
      <w:r>
        <w:rPr>
          <w:rFonts w:ascii="EC Square Sans Pro" w:hAnsi="EC Square Sans Pro"/>
          <w:b/>
          <w:bCs/>
          <w:sz w:val="22"/>
          <w:szCs w:val="22"/>
        </w:rPr>
        <w:t xml:space="preserve"> centrs</w:t>
      </w:r>
      <w:r>
        <w:rPr>
          <w:rFonts w:ascii="EC Square Sans Pro" w:hAnsi="EC Square Sans Pro"/>
          <w:bCs/>
          <w:sz w:val="22"/>
          <w:szCs w:val="22"/>
        </w:rPr>
        <w:t xml:space="preserve">, kas nodrošinās: </w:t>
      </w:r>
      <w:proofErr w:type="spellStart"/>
      <w:r>
        <w:rPr>
          <w:rFonts w:ascii="EC Square Sans Pro" w:hAnsi="EC Square Sans Pro"/>
          <w:bCs/>
          <w:sz w:val="22"/>
          <w:szCs w:val="22"/>
        </w:rPr>
        <w:t>tīmekļseminārus</w:t>
      </w:r>
      <w:proofErr w:type="spellEnd"/>
      <w:r>
        <w:rPr>
          <w:rFonts w:ascii="EC Square Sans Pro" w:hAnsi="EC Square Sans Pro"/>
          <w:bCs/>
          <w:sz w:val="22"/>
          <w:szCs w:val="22"/>
        </w:rPr>
        <w:t xml:space="preserve">, seminārus un savstarpējās mācīšanās pasākumus; jaunāko informāciju par ES politiku un instrumentiem; informāciju par projektiem, rīkiem un </w:t>
      </w:r>
      <w:proofErr w:type="spellStart"/>
      <w:r>
        <w:rPr>
          <w:rFonts w:ascii="EC Square Sans Pro" w:hAnsi="EC Square Sans Pro"/>
          <w:bCs/>
          <w:sz w:val="22"/>
          <w:szCs w:val="22"/>
        </w:rPr>
        <w:t>paraugpraksi</w:t>
      </w:r>
      <w:proofErr w:type="spellEnd"/>
      <w:r>
        <w:rPr>
          <w:rFonts w:ascii="EC Square Sans Pro" w:hAnsi="EC Square Sans Pro"/>
          <w:bCs/>
          <w:sz w:val="22"/>
          <w:szCs w:val="22"/>
        </w:rPr>
        <w:t>.</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Ieteikumu</w:t>
      </w:r>
      <w:r>
        <w:rPr>
          <w:rFonts w:ascii="EC Square Sans Pro" w:hAnsi="EC Square Sans Pro"/>
          <w:b/>
          <w:bCs/>
          <w:sz w:val="22"/>
          <w:szCs w:val="22"/>
        </w:rPr>
        <w:t xml:space="preserve"> un resursu centrs</w:t>
      </w:r>
      <w:r>
        <w:rPr>
          <w:rFonts w:ascii="EC Square Sans Pro" w:hAnsi="EC Square Sans Pro"/>
          <w:bCs/>
          <w:sz w:val="22"/>
          <w:szCs w:val="22"/>
        </w:rPr>
        <w:t xml:space="preserve">, kas nodrošinās: piekļuvi informācijai par attiecīgo ES finansējumu; norādes par iespējām saņemt finansējumu; vieglāku informācijas apmaiņu starp </w:t>
      </w:r>
      <w:proofErr w:type="spellStart"/>
      <w:r>
        <w:rPr>
          <w:rFonts w:ascii="EC Square Sans Pro" w:hAnsi="EC Square Sans Pro"/>
          <w:bCs/>
          <w:sz w:val="22"/>
          <w:szCs w:val="22"/>
        </w:rPr>
        <w:t>pakta</w:t>
      </w:r>
      <w:proofErr w:type="spellEnd"/>
      <w:r>
        <w:rPr>
          <w:rFonts w:ascii="EC Square Sans Pro" w:hAnsi="EC Square Sans Pro"/>
          <w:bCs/>
          <w:sz w:val="22"/>
          <w:szCs w:val="22"/>
        </w:rPr>
        <w:t xml:space="preserve"> dalībniekiem un valsts/reģionālajām iestādēm.</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proofErr w:type="spellStart"/>
      <w:r>
        <w:rPr>
          <w:rFonts w:ascii="EC Square Sans Pro" w:hAnsi="EC Square Sans Pro"/>
          <w:bCs/>
          <w:sz w:val="22"/>
          <w:szCs w:val="22"/>
        </w:rPr>
        <w:t>Pakta</w:t>
      </w:r>
      <w:proofErr w:type="spellEnd"/>
      <w:r>
        <w:rPr>
          <w:rFonts w:ascii="EC Square Sans Pro" w:hAnsi="EC Square Sans Pro"/>
          <w:bCs/>
          <w:sz w:val="22"/>
          <w:szCs w:val="22"/>
        </w:rPr>
        <w:t xml:space="preserve"> atbalstam ir pieejams plašs ES finansējums no Atveseļošanas un noturības mehānisma un attiecīgajiem 2021.–2027. gada daudzgadu finanšu shēmas finansēšanas instrumentiem</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un šis finansējums būtu pilnvērtīgi jāizmanto.</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HARTA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PREAMBULA</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Ņemot vērā </w:t>
      </w:r>
      <w:r>
        <w:rPr>
          <w:rFonts w:ascii="EC Square Sans Pro" w:hAnsi="EC Square Sans Pro"/>
          <w:b/>
          <w:sz w:val="22"/>
          <w:szCs w:val="22"/>
        </w:rPr>
        <w:t>Eiropas sociālo tiesību pīlāru</w:t>
      </w:r>
      <w:r>
        <w:rPr>
          <w:rFonts w:ascii="EC Square Sans Pro" w:hAnsi="EC Square Sans Pro"/>
          <w:sz w:val="22"/>
          <w:szCs w:val="22"/>
        </w:rPr>
        <w:t xml:space="preserve">, kas ir ES orientieris ceļā uz sociālu un iekļaujošu atveseļošanu un taisnīgu pāreju uz </w:t>
      </w:r>
      <w:proofErr w:type="spellStart"/>
      <w:r>
        <w:rPr>
          <w:rFonts w:ascii="EC Square Sans Pro" w:hAnsi="EC Square Sans Pro"/>
          <w:sz w:val="22"/>
          <w:szCs w:val="22"/>
        </w:rPr>
        <w:t>klimatneitralitāti</w:t>
      </w:r>
      <w:proofErr w:type="spellEnd"/>
      <w:r>
        <w:rPr>
          <w:rFonts w:ascii="EC Square Sans Pro" w:hAnsi="EC Square Sans Pro"/>
          <w:sz w:val="22"/>
          <w:szCs w:val="22"/>
        </w:rPr>
        <w:t xml:space="preserve"> un digitālu Eiropu;</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atzīstot, ka mūsdienu un nākotnes </w:t>
      </w:r>
      <w:r>
        <w:rPr>
          <w:rFonts w:ascii="EC Square Sans Pro" w:hAnsi="EC Square Sans Pro"/>
          <w:b/>
          <w:sz w:val="22"/>
          <w:szCs w:val="22"/>
        </w:rPr>
        <w:t>digitālās ekonomikas</w:t>
      </w:r>
      <w:r>
        <w:rPr>
          <w:rFonts w:ascii="EC Square Sans Pro" w:hAnsi="EC Square Sans Pro"/>
          <w:sz w:val="22"/>
          <w:szCs w:val="22"/>
        </w:rPr>
        <w:t xml:space="preserve"> centrā jābūt cilvēkiem;</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atgādinot, ka ar </w:t>
      </w:r>
      <w:r>
        <w:rPr>
          <w:rFonts w:ascii="EC Square Sans Pro" w:hAnsi="EC Square Sans Pro"/>
          <w:b/>
          <w:sz w:val="22"/>
          <w:szCs w:val="22"/>
        </w:rPr>
        <w:t>Eiropas zaļo kursu</w:t>
      </w:r>
      <w:r>
        <w:rPr>
          <w:rFonts w:ascii="EC Square Sans Pro" w:hAnsi="EC Square Sans Pro"/>
          <w:sz w:val="22"/>
          <w:szCs w:val="22"/>
        </w:rPr>
        <w:t xml:space="preserve"> Eiropa ir izvirzījusi mērķi līdz 2050. gadam kļūt par pirmo </w:t>
      </w:r>
      <w:proofErr w:type="spellStart"/>
      <w:r>
        <w:rPr>
          <w:rFonts w:ascii="EC Square Sans Pro" w:hAnsi="EC Square Sans Pro"/>
          <w:sz w:val="22"/>
          <w:szCs w:val="22"/>
        </w:rPr>
        <w:t>klimatneitrālo</w:t>
      </w:r>
      <w:proofErr w:type="spellEnd"/>
      <w:r>
        <w:rPr>
          <w:rFonts w:ascii="EC Square Sans Pro" w:hAnsi="EC Square Sans Pro"/>
          <w:sz w:val="22"/>
          <w:szCs w:val="22"/>
        </w:rPr>
        <w:t xml:space="preserve"> pasaules daļu;</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atbalstot </w:t>
      </w:r>
      <w:r>
        <w:rPr>
          <w:rFonts w:ascii="EC Square Sans Pro" w:hAnsi="EC Square Sans Pro"/>
          <w:b/>
          <w:sz w:val="22"/>
          <w:szCs w:val="22"/>
        </w:rPr>
        <w:t>industriālo stratēģiju un MVU stratēģiju</w:t>
      </w:r>
      <w:r>
        <w:rPr>
          <w:rFonts w:ascii="EC Square Sans Pro" w:hAnsi="EC Square Sans Pro"/>
          <w:sz w:val="22"/>
          <w:szCs w:val="22"/>
        </w:rPr>
        <w:t xml:space="preserve">, kam ir spēcīgi pamati vienotajā tirgū un kas ļauj uzņēmumiem ieviest inovācijas un attīstīt jaunas tehnoloģijas, veicinot </w:t>
      </w:r>
      <w:proofErr w:type="spellStart"/>
      <w:r>
        <w:rPr>
          <w:rFonts w:ascii="EC Square Sans Pro" w:hAnsi="EC Square Sans Pro"/>
          <w:sz w:val="22"/>
          <w:szCs w:val="22"/>
        </w:rPr>
        <w:t>apritīgumu</w:t>
      </w:r>
      <w:proofErr w:type="spellEnd"/>
      <w:r>
        <w:rPr>
          <w:rFonts w:ascii="EC Square Sans Pro" w:hAnsi="EC Square Sans Pro"/>
          <w:sz w:val="22"/>
          <w:szCs w:val="22"/>
        </w:rPr>
        <w:t xml:space="preserve"> un radot jaunus tirgus;</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stingri ticot, ka prasmes ir ļoti svarīgas, lai cilvēkiem un uzņēmumiem pavērtu iespējas lielākam skaitam labāku darbvietu, kā arī izaugsmei un konkurētspējai, kā noteikts </w:t>
      </w:r>
      <w:r>
        <w:rPr>
          <w:rFonts w:ascii="EC Square Sans Pro" w:hAnsi="EC Square Sans Pro"/>
          <w:b/>
          <w:sz w:val="22"/>
          <w:szCs w:val="22"/>
        </w:rPr>
        <w:t>Eiropas Prasmju programmā</w:t>
      </w:r>
      <w:r>
        <w:rPr>
          <w:rFonts w:ascii="EC Square Sans Pro" w:hAnsi="EC Square Sans Pro"/>
          <w:sz w:val="22"/>
          <w:szCs w:val="22"/>
        </w:rPr>
        <w:t xml:space="preserve"> ilgtspējīgai konkurētspējai, sociālajam taisnīgumam un noturībai;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saprotot uzņēmumu un sociālo partneru svarīgo lomu vajadzīgo prasmju apzināšanā un attiecīgo prasmju pilnveides atbalstīšanā;</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uzsverot sociālā dialoga nozīmi sekmīgas prasmju pilnveides un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veicināšanā Eiropā un pilnībā respektējot valstu sistēmas, sociālo partneru lomu un darba koplīgumus;</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uzsverot ieguvumus, ko sniedz sadarbība un informācijas apmaiņa starp uzņēmumiem, darba ņēmējiem un reģionālajām un vietējām iestādēm un to starpā;</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atzīstot, ka Covid-19 pandēmija ir nopietni ietekmējusi mūsu sabiedrību un ekonomiku, tādējādi parādot, ka liela nozīme ir ES solidaritātei un ātrai rīcībai, kas vērsta uz taisnīgu un noturīgu atveseļošanu,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mēs atbalstām</w:t>
      </w:r>
      <w:r>
        <w:rPr>
          <w:rFonts w:ascii="EC Square Sans Pro" w:hAnsi="EC Square Sans Pro"/>
          <w:sz w:val="22"/>
          <w:szCs w:val="22"/>
        </w:rPr>
        <w:t xml:space="preserve"> Eiropas Komisijas ierosināto </w:t>
      </w:r>
      <w:r>
        <w:rPr>
          <w:rFonts w:ascii="EC Square Sans Pro" w:hAnsi="EC Square Sans Pro"/>
          <w:b/>
          <w:bCs/>
          <w:sz w:val="22"/>
          <w:szCs w:val="22"/>
        </w:rPr>
        <w:t xml:space="preserve">Prasmju pilnveides </w:t>
      </w:r>
      <w:proofErr w:type="spellStart"/>
      <w:r>
        <w:rPr>
          <w:rFonts w:ascii="EC Square Sans Pro" w:hAnsi="EC Square Sans Pro"/>
          <w:b/>
          <w:bCs/>
          <w:sz w:val="22"/>
          <w:szCs w:val="22"/>
        </w:rPr>
        <w:t>paktu</w:t>
      </w:r>
      <w:proofErr w:type="spellEnd"/>
      <w:r>
        <w:rPr>
          <w:rFonts w:ascii="EC Square Sans Pro" w:hAnsi="EC Square Sans Pro"/>
          <w:sz w:val="22"/>
          <w:szCs w:val="22"/>
        </w:rPr>
        <w:t xml:space="preserve">, kura mērķis ir pamudināt privātā un publiskā sektora partnerus uz saskaņotu rīcību, lai visā Savienībā veiktu kvalitatīvus ieguldījumus visu darbspējas vecuma cilvēku prasmēs, </w:t>
      </w:r>
      <w:r>
        <w:rPr>
          <w:rFonts w:ascii="EC Square Sans Pro" w:hAnsi="EC Square Sans Pro"/>
          <w:b/>
          <w:bCs/>
          <w:sz w:val="22"/>
          <w:szCs w:val="22"/>
        </w:rPr>
        <w:t>un mēs ievērosim un īstenosim šādus galvenos principus</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Ikvienam pieejamas mūžizglītības kultūras veicināšana.</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Spēcīgu prasmju partnerību veidošana.</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Prasmju piedāvājuma un pieprasījuma uzraudzība un nepieciešamo prasmju prognozēšana.</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Cīņa pret diskrimināciju, atbalsts dzimumu līdztiesībai un iespēju vienlīdzībai.</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Parakstītāju saraksts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KONKRĒTU SAISTĪBU UZŅEMŠANĀS</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Papildus galveno principu ievērošanai un īstenošanai Prasmju pilnveides </w:t>
      </w:r>
      <w:proofErr w:type="spellStart"/>
      <w:r>
        <w:rPr>
          <w:rFonts w:ascii="EC Square Sans Pro" w:hAnsi="EC Square Sans Pro"/>
          <w:sz w:val="22"/>
          <w:szCs w:val="22"/>
        </w:rPr>
        <w:t>pakta</w:t>
      </w:r>
      <w:proofErr w:type="spellEnd"/>
      <w:r>
        <w:rPr>
          <w:rFonts w:ascii="EC Square Sans Pro" w:hAnsi="EC Square Sans Pro"/>
          <w:sz w:val="22"/>
          <w:szCs w:val="22"/>
        </w:rPr>
        <w:t xml:space="preserve"> parakstītāji tiek mudināti uzņemties konkrētas saistības attiecībā uz prasmju pilnveides vai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pasākumu īstenošanu, tādējādi </w:t>
      </w:r>
      <w:proofErr w:type="spellStart"/>
      <w:r>
        <w:rPr>
          <w:rFonts w:ascii="EC Square Sans Pro" w:hAnsi="EC Square Sans Pro"/>
          <w:sz w:val="22"/>
          <w:szCs w:val="22"/>
        </w:rPr>
        <w:t>pakta</w:t>
      </w:r>
      <w:proofErr w:type="spellEnd"/>
      <w:r>
        <w:rPr>
          <w:rFonts w:ascii="EC Square Sans Pro" w:hAnsi="EC Square Sans Pro"/>
          <w:sz w:val="22"/>
          <w:szCs w:val="22"/>
        </w:rPr>
        <w:t xml:space="preserve"> galvenos principus iedzīvinot praksē. To var darīt dažādi atkarībā no konteksta, nozares ekosistēmas un iesaistīto organizāciju veida, proti, no tā, vai tie ir atsevišķi uzņēmumi, citas atsevišķas organizācijas vai arī partnerības.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Turpmāk sniegts indikatīvs un neizsmeļošs tādu veicinošu pasākumu saraksts, uz kuriem var balstīties, nosakot konkrētās saistības. Izvirzot saistības īstenot konkrētu(-s) prasmju pilnveides un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pasākumu(-s), organizācijām vai partnerībām būtu jāizvēlas attiecīgie veicinošie pasākumi un pēc nepieciešamības tie jāpielāgo un jāintegrē tā, lai tie atbilstu konkrēto saistību saturam. Tām būtu arī jānorāda vismaz viens galvenais darbības rādītājs saistību izpildes uzraudzībai — tas var būt, piemēram, prasmju pilnveides vai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pasākuma dalībnieku skaits.</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Ikvienam pieejamas mūžizglītības kultūras veicināšana</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Organizācija veicina savu darbinieku prasmes kā sekmīgas darbības pamatu.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Darba devēji un darba ņēmēji tiek informēti par prasmju pilnveides un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vērtību un sniegtajiem ieguvumiem un tiek motivēti pastāvīgi uzlabot savas zināšanas un prasmes.</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Pasākums tiek veidots darba ņēmēju vajadzībām un kopā ar tiem, un to atbalsta visi vadības līmeņi.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Ir pieejamas karjeras konsultācijas un karjeras attīstības atbalsts.</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Ir piešķirti atbilstoši finanšu resursi.</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Notiek regulāra uzraudzība un kvalitātes novērtēšana.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Īpaša uzmanība tiek pievērsta nelabvēlīgā situācijā esošu grupu, tostarp gados vecāku darba ņēmēju un pieaugušo, kam trūkst </w:t>
      </w:r>
      <w:proofErr w:type="spellStart"/>
      <w:r>
        <w:rPr>
          <w:rFonts w:ascii="EC Square Sans Pro" w:hAnsi="EC Square Sans Pro"/>
          <w:sz w:val="22"/>
          <w:szCs w:val="22"/>
        </w:rPr>
        <w:t>pamatprasmju</w:t>
      </w:r>
      <w:proofErr w:type="spellEnd"/>
      <w:r>
        <w:rPr>
          <w:rFonts w:ascii="EC Square Sans Pro" w:hAnsi="EC Square Sans Pro"/>
          <w:sz w:val="22"/>
          <w:szCs w:val="22"/>
        </w:rPr>
        <w:t xml:space="preserve">, prasmju pilnveidei un </w:t>
      </w:r>
      <w:proofErr w:type="spellStart"/>
      <w:r>
        <w:rPr>
          <w:rFonts w:ascii="EC Square Sans Pro" w:hAnsi="EC Square Sans Pro"/>
          <w:sz w:val="22"/>
          <w:szCs w:val="22"/>
        </w:rPr>
        <w:t>pārkvalifikācijai</w:t>
      </w:r>
      <w:proofErr w:type="spellEnd"/>
      <w:r>
        <w:rPr>
          <w:rFonts w:ascii="EC Square Sans Pro" w:hAnsi="EC Square Sans Pro"/>
          <w:sz w:val="22"/>
          <w:szCs w:val="22"/>
        </w:rPr>
        <w:t>.</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Tiek sniegts atbalsts vadībai un darbiniekiem, lai viņi mācītos un pārvarētu tādus šķēršļus kā laika trūkums, līdzekļu trūkums vai nepietiekama informācija par prasmju pilnveides vai </w:t>
      </w:r>
      <w:proofErr w:type="spellStart"/>
      <w:r>
        <w:rPr>
          <w:rFonts w:ascii="EC Square Sans Pro" w:hAnsi="EC Square Sans Pro"/>
          <w:sz w:val="22"/>
          <w:szCs w:val="22"/>
        </w:rPr>
        <w:t>pārkvalifikācijas</w:t>
      </w:r>
      <w:proofErr w:type="spellEnd"/>
      <w:r>
        <w:rPr>
          <w:rFonts w:ascii="EC Square Sans Pro" w:hAnsi="EC Square Sans Pro"/>
          <w:sz w:val="22"/>
          <w:szCs w:val="22"/>
        </w:rPr>
        <w:t xml:space="preserve"> iespējām.</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Ir izveidoti finansiāli un nefinansiāli stimuli uzņēmumiem nodrošināt darba devēju un darbinieku prasmju pilnveidi un pārkvalificēšanos.</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proofErr w:type="spellStart"/>
      <w:r>
        <w:rPr>
          <w:rFonts w:ascii="EC Square Sans Pro" w:hAnsi="EC Square Sans Pro"/>
          <w:sz w:val="22"/>
          <w:szCs w:val="22"/>
        </w:rPr>
        <w:t>Mikrouzņēmumiem</w:t>
      </w:r>
      <w:proofErr w:type="spellEnd"/>
      <w:r>
        <w:rPr>
          <w:rFonts w:ascii="EC Square Sans Pro" w:hAnsi="EC Square Sans Pro"/>
          <w:sz w:val="22"/>
          <w:szCs w:val="22"/>
        </w:rPr>
        <w:t>, maziem un vidējiem uzņēmumiem ir pieejams īpašs atbalsts (piemēram, rīki, pakalpojumi un finansējums), lai radītu un uzturētu mācību kultūru organizācijā gan vadības, gan personāla līmenī.</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Spēcīgu prasmju partnerību veidošana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Ir iesaistīts plašs ieinteresēto personu loks — jo īpaši sociālie partneri, apmācības nodrošinātāji, publiskā sektora iestādes, pētnieki, valsts vai privātie nodarbinātības dienesti, tirdzniecības palātas, citas </w:t>
      </w:r>
      <w:proofErr w:type="spellStart"/>
      <w:r>
        <w:rPr>
          <w:rFonts w:ascii="EC Square Sans Pro" w:hAnsi="EC Square Sans Pro"/>
          <w:sz w:val="22"/>
          <w:szCs w:val="22"/>
        </w:rPr>
        <w:t>starpniekstruktūras</w:t>
      </w:r>
      <w:proofErr w:type="spellEnd"/>
      <w:r>
        <w:rPr>
          <w:rFonts w:ascii="EC Square Sans Pro" w:hAnsi="EC Square Sans Pro"/>
          <w:sz w:val="22"/>
          <w:szCs w:val="22"/>
        </w:rPr>
        <w:t xml:space="preserve">, kā arī nozaru organizācijas.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Partnerība nozares ekosistēmā ir atvērta visām attiecīgajām ieinteresētajām personām, lai apvienotu zināšanas un resursus, īstenojot konkrētus pasākumus, kas ļaus cilvēkiem saglabāt vai mainīt darbu un atrast jaunas darbvietas.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Partnerība sadarbojas attiecīgi Eiropas, valsts, reģionālā vai vietējā līmenī.</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Tiek atbalstīta starpnozaru sadarbība starp attiecīgajām partnerībām nozarēs / rūpniecības ekosistēmās.</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Tiek nodrošināta kopīga atbildība, un katrs partneris uzņemas </w:t>
      </w:r>
      <w:proofErr w:type="spellStart"/>
      <w:r>
        <w:rPr>
          <w:rFonts w:ascii="EC Square Sans Pro" w:hAnsi="EC Square Sans Pro"/>
          <w:sz w:val="22"/>
          <w:szCs w:val="22"/>
        </w:rPr>
        <w:t>proaktīvu</w:t>
      </w:r>
      <w:proofErr w:type="spellEnd"/>
      <w:r>
        <w:rPr>
          <w:rFonts w:ascii="EC Square Sans Pro" w:hAnsi="EC Square Sans Pro"/>
          <w:sz w:val="22"/>
          <w:szCs w:val="22"/>
        </w:rPr>
        <w:t xml:space="preserve"> lomu.</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Partnerības dalībnieku vidū norit atklāts dialogs, viņi dalās zināšanās un apmainās ar tām, lai nodrošinātu augstu apmācības piedāvājuma kvalitāti, tostarp skolotāju/pasniedzēju kvalifikāciju un mācību programmu kvalitāti.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Partnerības darbības pamatā ir pārbaudīti instrumenti, bet tā arī izstrādā inovatīvus risinājumus.</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Prasmju piedāvājuma un pieprasījuma uzraudzība un nepieciešamo prasmju prognozēšana</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Tiek regulāri uzraudzīts prasmju pieprasījums un (ar darbu saistītu un transversālu) prasmju piedāvājums, un cilvēkiem tiek sniegta skaidra informācija par nepieciešamajām prasmēm.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Paredzot turpmāk vajadzīgās prasmes, tiek ņemta vērā nepieciešamība atbalstīt digitālo un zaļo pārkārtošanos, kā arī demogrāfisko pārmaiņu sekas.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Prasmju pieprasījuma un piedāvājuma uzraudzība aptver darbaspēka un uzņēmumu vajadzības pēc prasmēm reģionālā, valsts un Eiropas līmenī.</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Prasmju prognozēšanā ņem vērā straujās pārmaiņas darba tirgū, un tiek sniegta atbilstīga un savlaicīga informācija par vajadzīgajām prasmēm.</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Prasmju prognozēšanā ņem vērā reģionālās, valstu un Eiropas norises.</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Uzraudzības mehānisms seko līdzi vajadzībai pēc prasmēm, kas saistītas ar darbu, un arī pēc transversālām prasmēm un </w:t>
      </w:r>
      <w:proofErr w:type="spellStart"/>
      <w:r>
        <w:rPr>
          <w:rFonts w:ascii="EC Square Sans Pro" w:hAnsi="EC Square Sans Pro"/>
          <w:sz w:val="22"/>
          <w:szCs w:val="22"/>
        </w:rPr>
        <w:t>pamatprasmēm</w:t>
      </w:r>
      <w:proofErr w:type="spellEnd"/>
      <w:r>
        <w:rPr>
          <w:rFonts w:ascii="EC Square Sans Pro" w:hAnsi="EC Square Sans Pro"/>
          <w:sz w:val="22"/>
          <w:szCs w:val="22"/>
        </w:rPr>
        <w:t>.</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Rīcības pamatā ir apzinātās vajadzības pēc prasmēm — gan ar darbu saistītajām prasmēm, gan vispārīgām kompetencēm.</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Cīņa pret diskrimināciju, atbalsts dzimumu līdztiesībai un iespēju vienlīdzībai</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Ar pasākumu tiek aktīvi veicinātas vienlīdzīgas iespējas neatkarīgi no dzimuma, rases vai etniskās izcelsmes, reliģijas vai pārliecības, invaliditātes, vecuma vai </w:t>
      </w:r>
      <w:proofErr w:type="spellStart"/>
      <w:r>
        <w:rPr>
          <w:rFonts w:ascii="EC Square Sans Pro" w:hAnsi="EC Square Sans Pro"/>
          <w:sz w:val="22"/>
          <w:szCs w:val="22"/>
        </w:rPr>
        <w:t>dzimumorientācijas</w:t>
      </w:r>
      <w:proofErr w:type="spellEnd"/>
      <w:r>
        <w:rPr>
          <w:rFonts w:ascii="EC Square Sans Pro" w:hAnsi="EC Square Sans Pro"/>
          <w:sz w:val="22"/>
          <w:szCs w:val="22"/>
        </w:rPr>
        <w:t>.</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Pasākums nodrošina piekļuvi augstas kvalitātes prasmju pilnveides / pārkvalificēšanās iespējām ikvienam mērķauditorijā neatkarīgi no dzimuma, rases vai etniskās izcelsmes, reliģijas vai pārliecības, invaliditātes, vecuma</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vai </w:t>
      </w:r>
      <w:proofErr w:type="spellStart"/>
      <w:r>
        <w:rPr>
          <w:rFonts w:ascii="EC Square Sans Pro" w:hAnsi="EC Square Sans Pro"/>
          <w:sz w:val="22"/>
          <w:szCs w:val="22"/>
        </w:rPr>
        <w:t>dzimumorientācijas</w:t>
      </w:r>
      <w:proofErr w:type="spellEnd"/>
      <w:r>
        <w:rPr>
          <w:rFonts w:ascii="EC Square Sans Pro" w:hAnsi="EC Square Sans Pro"/>
          <w:sz w:val="22"/>
          <w:szCs w:val="22"/>
        </w:rPr>
        <w:t xml:space="preserve">.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Pasākumā ir iekļauta iegūto prasmju validēšana un atzīšana (arī </w:t>
      </w:r>
      <w:proofErr w:type="spellStart"/>
      <w:r>
        <w:rPr>
          <w:rFonts w:ascii="EC Square Sans Pro" w:hAnsi="EC Square Sans Pro"/>
          <w:sz w:val="22"/>
          <w:szCs w:val="22"/>
        </w:rPr>
        <w:t>mikroapliecinājumi</w:t>
      </w:r>
      <w:proofErr w:type="spellEnd"/>
      <w:r>
        <w:rPr>
          <w:rFonts w:ascii="EC Square Sans Pro" w:hAnsi="EC Square Sans Pro"/>
          <w:sz w:val="22"/>
          <w:szCs w:val="22"/>
        </w:rPr>
        <w: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Tiek ņemtas vērā cilvēku vajadzības un spējas, tostarp viņu personīgās un profesionālās vajadzības (piemēram, karjeras maiņa pusmūža vecumā).</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Pasākums ir elastīgs, modulārs un, ja iespējams, tiek nodrošināts, izmantojot rīkus (arī digitālos rīkus), kas visiem darbspējas vecuma cilvēkiem nodrošina piekļuvi mācībām.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 xml:space="preserve">Piemēram, no Eiropas Sociālā fonda Plus, </w:t>
      </w:r>
      <w:r>
        <w:rPr>
          <w:i/>
          <w:iCs/>
        </w:rPr>
        <w:t>REACT_EU</w:t>
      </w:r>
      <w:r>
        <w:t>, Taisnīgas pārkārtošanās fonda, programmas “</w:t>
      </w:r>
      <w:proofErr w:type="spellStart"/>
      <w:r>
        <w:rPr>
          <w:i/>
          <w:iCs/>
        </w:rPr>
        <w:t>Erasmus</w:t>
      </w:r>
      <w:proofErr w:type="spellEnd"/>
      <w:r>
        <w:rPr>
          <w:i/>
          <w:iCs/>
        </w:rPr>
        <w:t>+</w:t>
      </w:r>
      <w:r>
        <w:t xml:space="preserve">”, pamatprogrammas “Apvārsnis Eiropa”, programmas “Digitālā Eiropa”, Eiropas Reģionālās attīstības fonda, programmas </w:t>
      </w:r>
      <w:proofErr w:type="spellStart"/>
      <w:r>
        <w:rPr>
          <w:i/>
          <w:iCs/>
        </w:rPr>
        <w:t>InvestEU</w:t>
      </w:r>
      <w:proofErr w:type="spellEnd"/>
      <w:r>
        <w:t xml:space="preserve"> un Modernizācijas fonda.</w:t>
      </w:r>
    </w:p>
  </w:footnote>
  <w:footnote w:id="3">
    <w:p w14:paraId="0A32517E" w14:textId="16C3F6B3" w:rsidR="00774040" w:rsidRDefault="00774040">
      <w:pPr>
        <w:pStyle w:val="FootnoteText"/>
      </w:pPr>
      <w:r>
        <w:rPr>
          <w:rStyle w:val="FootnoteReference"/>
        </w:rPr>
        <w:footnoteRef/>
      </w:r>
      <w:r>
        <w:t xml:space="preserve"> </w:t>
      </w:r>
      <w:r>
        <w:tab/>
      </w:r>
      <w:r>
        <w:t>Ja vien to nepamato pasākuma būtība, kā tas var būt, piemēram, prasmju pilnveides un pārkvalificēšanās iniciatīvās, kas vērstas uz gados vecākiem darba ņēmējiem vai gados jaunākiem darba meklētājiem.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49D0"/>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lv-LV"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E0427F-E315-4533-9576-6C0D267F1794}">
  <ds:schemaRefs>
    <ds:schemaRef ds:uri="http://schemas.openxmlformats.org/officeDocument/2006/bibliography"/>
  </ds:schemaRefs>
</ds:datastoreItem>
</file>

<file path=customXml/itemProps2.xml><?xml version="1.0" encoding="utf-8"?>
<ds:datastoreItem xmlns:ds="http://schemas.openxmlformats.org/officeDocument/2006/customXml" ds:itemID="{87F40CFF-7659-498D-8206-05855EFD223F}"/>
</file>

<file path=customXml/itemProps3.xml><?xml version="1.0" encoding="utf-8"?>
<ds:datastoreItem xmlns:ds="http://schemas.openxmlformats.org/officeDocument/2006/customXml" ds:itemID="{4455B3DB-209F-4C9C-AE43-B174DF949ED0}"/>
</file>

<file path=customXml/itemProps4.xml><?xml version="1.0" encoding="utf-8"?>
<ds:datastoreItem xmlns:ds="http://schemas.openxmlformats.org/officeDocument/2006/customXml" ds:itemID="{16926229-F824-4357-A10C-DC64260C8F64}"/>
</file>

<file path=docProps/app.xml><?xml version="1.0" encoding="utf-8"?>
<Properties xmlns="http://schemas.openxmlformats.org/officeDocument/2006/extended-properties" xmlns:vt="http://schemas.openxmlformats.org/officeDocument/2006/docPropsVTypes">
  <Template>Normal</Template>
  <TotalTime>0</TotalTime>
  <Pages>6</Pages>
  <Words>1269</Words>
  <Characters>9546</Characters>
  <Application>Microsoft Office Word</Application>
  <DocSecurity>0</DocSecurity>
  <Lines>170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