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bookmarkStart w:id="0" w:name="_GoBack"/>
      <w:bookmarkEnd w:id="0"/>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PACTO PARA AS COMPETÊNCIAS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A ação conjunta pode ser determinante para maximizar o impacto do investimento em competências. As políticas e ações em matéria de competências são partilhadas entre muitos intervenientes. As empresas, os trabalhadores, os prestadores de serviços de educação e formação, as autoridades nacionais, regionais e locais, as câmaras de comércio e os serviços de emprego estão entre aqueles que contribuem para concretizar a melhoria de competências e a requalificação profissional. A concertação de esforços pode trazer clareza aos indivíduos e às empresas ao longo da cadeia de valor, reduzir os custos e privilegiar as prioridades.</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Por essa razão, a Comissão está a lançar um Pacto para as Competências – um empenho e abordagem comuns em matéria de desenvolvimento de competências. O Pacto está firmemente ligado aos princípios do Pilar Europeu dos Direitos Sociais e apoia os objetivos do Pacto Ecológico e a transformação digital, conforme referido na comunicação da Comissão intitulada «Uma Europa social forte para transições justas».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O Pacto visa mobilizar as partes interessadas, públicas e privadas, e incentivá-las a tomarem medidas concretas para a melhoria das competências e a requalificação profissional de pessoas em idade ativa e, se pertinente, para a congregação de esforços em parcerias.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Adesão ao Pacto:</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Todas as partes interessadas que adiram ao Pacto subscrevem a Carta e os seus princípios fundamentais, comprometendo-se a respeitar e a defender esses princípios.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Os signatários do Pacto são convidados a traduzir o seu empenho em compromissos concretos em matéria de melhoria de competências e requalificação profissional. Os compromissos devem ser consonantes com os princípios fundamentais e podem articular-se em torno de vários «catalisadores», que ilustram formas concretas de implementar os diferentes princípios.</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Os compromissos são acompanhados, pelo menos, de um indicador-chave de desempenho, como, por exemplo, o número de pessoas que participam em ações de melhoria de competências ou requalificação profissional.</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Princípios fundamentais da Carta:</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Promoção de uma cultura de aprendizagem ao longo da vida para todos</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Criação de parcerias de competências fortes</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Acompanhamento da oferta/procura de competências e antecipação das necessidades de competências</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Luta contra a discriminação e em prol da igualdade de género e da igualdade de oportunidades</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O Pacto pode ser implementado por:</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Empresas individuais ou outras organizações públicas ou privadas</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Parcerias regionais ou locais</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lastRenderedPageBreak/>
        <w:t>Parcerias industriais ou transetoriais</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Apoio no âmbito do Pacto:</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A partir de 2021, a Comissão apoiará os signatários do Pacto através de serviços dedicados:</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Polo de</w:t>
      </w:r>
      <w:r>
        <w:rPr>
          <w:rFonts w:ascii="EC Square Sans Pro" w:hAnsi="EC Square Sans Pro"/>
          <w:b/>
          <w:bCs/>
          <w:sz w:val="22"/>
          <w:szCs w:val="22"/>
        </w:rPr>
        <w:t xml:space="preserve"> redes</w:t>
      </w:r>
      <w:r>
        <w:rPr>
          <w:rFonts w:ascii="EC Square Sans Pro" w:hAnsi="EC Square Sans Pro"/>
          <w:bCs/>
          <w:sz w:val="22"/>
          <w:szCs w:val="22"/>
        </w:rPr>
        <w:t>, nomeadamente: apoio na procura de parceiros e nas primeiras reuniões das parcerias; ligação a ferramentas existentes da UE, como, por exemplo Europass, Panorama de Competências, EURES e rede de serviços públicos de emprego; promoção das atividades dos membros do Pacto.</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Polo de</w:t>
      </w:r>
      <w:r>
        <w:rPr>
          <w:rFonts w:ascii="EC Square Sans Pro" w:hAnsi="EC Square Sans Pro"/>
          <w:b/>
          <w:bCs/>
          <w:sz w:val="22"/>
          <w:szCs w:val="22"/>
        </w:rPr>
        <w:t xml:space="preserve"> conhecimentos</w:t>
      </w:r>
      <w:r>
        <w:rPr>
          <w:rFonts w:ascii="EC Square Sans Pro" w:hAnsi="EC Square Sans Pro"/>
          <w:bCs/>
          <w:sz w:val="22"/>
          <w:szCs w:val="22"/>
        </w:rPr>
        <w:t>, nomeadamente: seminários em linha, seminários, atividades de aprendizagem entre colegas; atualizações de políticas e instrumentos da UE; informações sobre projetos, ferramentas, instrumentos e melhores práticas.</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Orientações</w:t>
      </w:r>
      <w:r>
        <w:rPr>
          <w:rFonts w:ascii="EC Square Sans Pro" w:hAnsi="EC Square Sans Pro"/>
          <w:b/>
          <w:bCs/>
          <w:sz w:val="22"/>
          <w:szCs w:val="22"/>
        </w:rPr>
        <w:t xml:space="preserve"> e polo de recursos</w:t>
      </w:r>
      <w:r>
        <w:rPr>
          <w:rFonts w:ascii="EC Square Sans Pro" w:hAnsi="EC Square Sans Pro"/>
          <w:bCs/>
          <w:sz w:val="22"/>
          <w:szCs w:val="22"/>
        </w:rPr>
        <w:t>, nomeadamente: acesso a informações sobre financiamento pertinente da UE; orientações para identificar possibilidades financeiras; facilitação de intercâmbios entre os membros do Pacto e autoridades nacionais/regionais.</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O financiamento global da UE, nomeadamente o Mecanismo de Recuperação e Resiliência e os instrumentos de financiamento pertinentes ao abrigo do quadro financeiro plurianual</w:t>
      </w:r>
      <w:r>
        <w:t xml:space="preserve"> </w:t>
      </w:r>
      <w:r>
        <w:rPr>
          <w:rFonts w:ascii="EC Square Sans Pro" w:hAnsi="EC Square Sans Pro"/>
          <w:bCs/>
          <w:sz w:val="22"/>
          <w:szCs w:val="22"/>
        </w:rPr>
        <w:t>2021-2027</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pode apoiar o Pacto e deve ser plenamente utilizado.</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CARTA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PREÂMBULO</w:t>
      </w:r>
    </w:p>
    <w:p w14:paraId="1E55824E" w14:textId="2680106D" w:rsidR="001A1133" w:rsidRDefault="001A1133" w:rsidP="00610108">
      <w:pPr>
        <w:pStyle w:val="Text1"/>
        <w:spacing w:before="120" w:after="0" w:line="276" w:lineRule="auto"/>
        <w:ind w:left="0"/>
        <w:rPr>
          <w:ins w:id="1" w:author="Author"/>
          <w:rFonts w:ascii="EC Square Sans Pro" w:hAnsi="EC Square Sans Pro" w:cstheme="minorHAnsi"/>
          <w:sz w:val="22"/>
          <w:szCs w:val="22"/>
        </w:rPr>
      </w:pPr>
      <w:r>
        <w:rPr>
          <w:rFonts w:ascii="EC Square Sans Pro" w:hAnsi="EC Square Sans Pro"/>
          <w:sz w:val="22"/>
          <w:szCs w:val="22"/>
        </w:rPr>
        <w:t xml:space="preserve">Tendo em conta o </w:t>
      </w:r>
      <w:r>
        <w:rPr>
          <w:rFonts w:ascii="EC Square Sans Pro" w:hAnsi="EC Square Sans Pro"/>
          <w:b/>
          <w:sz w:val="22"/>
          <w:szCs w:val="22"/>
        </w:rPr>
        <w:t>Pilar Europeu dos Direitos Sociais</w:t>
      </w:r>
      <w:r>
        <w:rPr>
          <w:rFonts w:ascii="EC Square Sans Pro" w:hAnsi="EC Square Sans Pro"/>
          <w:sz w:val="22"/>
          <w:szCs w:val="22"/>
        </w:rPr>
        <w:t>, que constitui a bússola da UE para uma recuperação social e inclusiva, bem como para transições justas no sentido da neutralidade climática e de uma Europa digital;</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Reconhecendo que a </w:t>
      </w:r>
      <w:r>
        <w:rPr>
          <w:rFonts w:ascii="EC Square Sans Pro" w:hAnsi="EC Square Sans Pro"/>
          <w:b/>
          <w:sz w:val="22"/>
          <w:szCs w:val="22"/>
        </w:rPr>
        <w:t>economia digital</w:t>
      </w:r>
      <w:r>
        <w:rPr>
          <w:rFonts w:ascii="EC Square Sans Pro" w:hAnsi="EC Square Sans Pro"/>
          <w:sz w:val="22"/>
          <w:szCs w:val="22"/>
        </w:rPr>
        <w:t xml:space="preserve"> atual e futura deve estar centrada nas pessoas;</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Recordando que, com o </w:t>
      </w:r>
      <w:r>
        <w:rPr>
          <w:rFonts w:ascii="EC Square Sans Pro" w:hAnsi="EC Square Sans Pro"/>
          <w:b/>
          <w:sz w:val="22"/>
          <w:szCs w:val="22"/>
        </w:rPr>
        <w:t>Pacto Ecológico Europeu</w:t>
      </w:r>
      <w:r>
        <w:rPr>
          <w:rFonts w:ascii="EC Square Sans Pro" w:hAnsi="EC Square Sans Pro"/>
          <w:sz w:val="22"/>
          <w:szCs w:val="22"/>
        </w:rPr>
        <w:t>, a Europa assinalou a sua ambição de se tornar no primeiro continente com impacto neutro no clima até 2050;</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Apoiando a </w:t>
      </w:r>
      <w:r>
        <w:rPr>
          <w:rFonts w:ascii="EC Square Sans Pro" w:hAnsi="EC Square Sans Pro"/>
          <w:b/>
          <w:sz w:val="22"/>
          <w:szCs w:val="22"/>
        </w:rPr>
        <w:t xml:space="preserve">Estratégia Industrial e a Estratégia para as PME </w:t>
      </w:r>
      <w:r>
        <w:rPr>
          <w:rFonts w:ascii="EC Square Sans Pro" w:hAnsi="EC Square Sans Pro"/>
          <w:sz w:val="22"/>
          <w:szCs w:val="22"/>
        </w:rPr>
        <w:t>com bases sólidas no mercado único, permitindo às empresas inovar e desenvolver novas tecnologias, promovendo a circularidade e a criação de novos mercados;</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Acreditando firmemente que as competências são fundamentais para as pessoas e as empresas terem acesso a oportunidades de mais e melhores empregos, bem como de crescimento e competitividade, conforme estabelecido na </w:t>
      </w:r>
      <w:r>
        <w:rPr>
          <w:rFonts w:ascii="EC Square Sans Pro" w:hAnsi="EC Square Sans Pro"/>
          <w:b/>
          <w:sz w:val="22"/>
          <w:szCs w:val="22"/>
        </w:rPr>
        <w:t>Agenda de Competências para a Europa</w:t>
      </w:r>
      <w:r>
        <w:rPr>
          <w:rFonts w:ascii="EC Square Sans Pro" w:hAnsi="EC Square Sans Pro"/>
          <w:sz w:val="22"/>
          <w:szCs w:val="22"/>
        </w:rPr>
        <w:t xml:space="preserve">, em prol da competitividade sustentável, da justiça social e da resiliência;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Compreendendo o papel importante desempenhado pelas empresas e pelos parceiros sociais na identificação das necessidades de competências e no apoio ao desenvolvimento de competências pertinentes;</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Sublinhando a importância do diálogo social em virtude do seu contributo para uma melhoria de competências e requalificação profissional bem-sucedidas na Europa e respeitando plenamente os sistemas nacionais, o papel dos parceiros sociais e os acordos coletivos;</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Salientando os benefícios da cooperação e do intercâmbio entre empresas, trabalhadores e autoridades regionais e locais;</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Reconhecendo que a pandemia de COVID-19 afetou profundamente as nossas sociedades e economias, colocando em evidência a importância da solidariedade da UE e de medidas céleres para uma recuperação justa e resiliente;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Congratulamo-nos com o Pacto para as Competências</w:t>
      </w:r>
      <w:r>
        <w:rPr>
          <w:rFonts w:ascii="EC Square Sans Pro" w:hAnsi="EC Square Sans Pro"/>
          <w:sz w:val="22"/>
          <w:szCs w:val="22"/>
        </w:rPr>
        <w:t xml:space="preserve">, iniciado pela Comissão Europeia para mobilizar um esforço concertado entre parceiros privados e públicos em torno de um investimento de qualidade em competências para todas as pessoas em idade ativa na União, </w:t>
      </w:r>
      <w:r>
        <w:rPr>
          <w:rFonts w:ascii="EC Square Sans Pro" w:hAnsi="EC Square Sans Pro"/>
          <w:b/>
          <w:sz w:val="22"/>
          <w:szCs w:val="22"/>
        </w:rPr>
        <w:t>e respeitaremos e defenderemos os seguintes princípios fundamentais</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Promoção de uma cultura de aprendizagem ao longo da vida para todos</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Criação de parcerias de competências fortes</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Acompanhamento da oferta/procura de competências e antecipação das necessidades de competências</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Luta contra a discriminação e em prol da igualdade de género e da igualdade de oportunidades</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Lista de signatários</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DEFINIÇÃO DE COMPROMISSOS CONCRETOS</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Além do respeito e da defesa dos princípios fundamentais, os signatários do Pacto para as Competências são fortemente encorajados a apresentar compromissos concretos no que diz respeito à implementação de ações de melhoria de competências ou requalificação profissional, a fim de concretizar os princípios fundamentais do Pacto. Tal pode ser efetuado de diferentes formas, em função do contexto, do ecossistema industrial e do tipo de organizações envolvidas, sejam empresas individuais ou outras organizações ou parcerias.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Seguidamente, apresenta-se uma lista indicativa e não exaustiva de catalisadores que podem apoiar a definição de compromissos concretos. Ao proporem um compromisso, com ações concretas de melhoria de competências e requalificação profissional, as organizações ou parcerias devem escolher os catalisadores pertinentes, bem como adaptá-los e integrá-los conforme necessário, a fim de os adequar ao conteúdo do seu compromisso. Devem indicar também, pelo menos, um indicador-chave de desempenho para acompanhar o compromisso, como, por exemplo, o número de pessoas que participam na ação de melhoria de competências ou requalificação profissional.</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Promoção de uma cultura de aprendizagem ao longo da vida para todos</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A organização promove as competências dos seus membros, por serem essenciais para o seu sucesso.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Os empregadores e os trabalhadores são sensibilizados para o valor e os benefícios da melhoria de competências e da requalificação profissional e são motivados a melhorar constantemente os seus conhecimentos e competências.</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A ação é desenvolvida tendo em mente os trabalhadores, e com a sua colaboração, e é apoiada por todos os níveis de gestão.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É concedida orientação e apoio à progressão profissional.</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São utilizados recursos financeiros adequados.</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Existe um acompanhamento e avaliação regulares da qualidade.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É dedicada uma atenção especial à melhoria de competências e requalificação profissional de grupos desfavorecidos, incluindo trabalhadores mais velhos e adultos que têm dificuldades em termos de competências de base.</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É disponibilizado apoio aos quadros superiores e aos membros do pessoal na aprendizagem e superação de obstáculos, como a falta de tempo, e no que diz respeito a financiamento ou informações sobre oportunidades de melhoria de competências ou requalificação profissional.</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Existem incentivos financeiros e não financeiros para empresas com vista à melhoria de competências e requalificação profissional de empregadores e membros do pessoal.</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As microempresas, bem como as pequenas e médias empresas, têm ao seu dispor apoio específico (por exemplo, ferramentas, serviços e financiamento) para a criação e a preservação de uma cultura de aprendizagem na organização, tanto para quadros superiores como para membros do pessoal.</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Criação de parcerias de competências fortes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Envolvimento de um vasto leque de partes interessadas, nomeadamente parceiros sociais, prestadores de serviços de formação, autoridades públicas, investigadores, serviços de emprego </w:t>
      </w:r>
      <w:r>
        <w:rPr>
          <w:rFonts w:ascii="EC Square Sans Pro" w:hAnsi="EC Square Sans Pro"/>
          <w:sz w:val="22"/>
          <w:szCs w:val="22"/>
        </w:rPr>
        <w:lastRenderedPageBreak/>
        <w:t xml:space="preserve">públicos ou privados, câmaras de comércio e outros organismos intermediários e organizações setoriais.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A criação de parcerias num ecossistema industrial está aberta a todas as partes interessadas para reunir conhecimentos especializados e recursos tendo em vista ações concretas, que permitirão às pessoas manterem, mudarem e encontrarem novos empregos.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A parceria coopera a nível europeu ou nacional ou regional ou local, conforme o caso.</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A cooperação transetorial é apoiada entre parcerias relevantes em ecossistemas setoriais/industriais.</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É assegurada a responsabilidade partilhada e um papel proativo de todos os parceiros.</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Os membros da parceria participam num diálogo aberto e partilham e fomentam o intercâmbio de conhecimentos para garantir a elevada qualidade da oferta de formação, nomeadamente a competência dos professores/formadores e a adequação dos programas de formação.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A parceria baseia a sua ação em ferramentas testadas, mas também desenvolve soluções inovadoras.</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Acompanhamento da oferta/procura de competências e antecipação das necessidades de competências</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A procura e oferta de competências (profissionais e transversais) são acompanhadas regularmente e as necessidades de competências são comunicadas, de forma clara, aos indivíduos.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A antecipação das competências tem em conta a necessidade de apoiar as transições digitais e ecológicas, bem como as consequências das alterações demográficas.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 acompanhamento da procura e da oferta de competências está orientado para as necessidades de competências da mão de obra e das empresas, a nível regional, nacional e europeu.</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A antecipação das competências inclui a rápida evolução do mercado de trabalho e fornece informações pertinentes e atempadas sobre as necessidades de competências.</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A antecipação das competências tem em conta os desenvolvimentos regionais, nacionais e europeus.</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 mecanismo de acompanhamento abrange não só as necessidades de competências profissionais, mas também as necessidades de competências transversais e básicas.</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As ações são definidas em função das necessidades de competências identificadas, tanto profissionais como sociais.</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Luta contra a discriminação e em prol da igualdade de género e da igualdade de oportunidades</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A igualdade de oportunidades é ativamente promovida através de ações, independentemente do género, da origem racial ou étnica, da religião ou crença, da deficiência, da idade ou da orientação sexual;</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As ações possibilitam o acesso a oportunidades de melhoria de competências/requalificação profissional de elevada qualidade a toda a população-alvo, independentemente do género, da origem racial ou étnica, da religião ou crença, da deficiência, da idade</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ou da orientação sexual.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São integrados nas ações a validação e o reconhecimento de competências adquiridas (incluindo microcredenciais).</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São tidas em conta as necessidades e as capacidades individuais, nomeadamente as de natureza pessoal e profissional (por exemplo, mudança de carreira na meia-idade).</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As ações são flexíveis, modulares e, se possível, disponibilizadas através de ferramentas (incluindo ferramentas digitais), assegurando o acesso à aprendizagem a todas as pessoas em idade ativa.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Nomeadamente, o Fundo Social Europeu Mais, a Iniciativa REACT_EU, o Fundo para uma Transição Justa, o Programa Erasmus+, o Programa Horizonte Europa, o Programa Europa Digital, o Fundo Europeu de Desenvolvimento Regional, o Programa InvestEU e o Fundo de Modernização.</w:t>
      </w:r>
    </w:p>
  </w:footnote>
  <w:footnote w:id="3">
    <w:p w14:paraId="0A32517E" w14:textId="16C3F6B3" w:rsidR="00774040" w:rsidRDefault="00774040">
      <w:pPr>
        <w:pStyle w:val="FootnoteText"/>
      </w:pPr>
      <w:r>
        <w:rPr>
          <w:rStyle w:val="FootnoteReference"/>
        </w:rPr>
        <w:footnoteRef/>
      </w:r>
      <w:r>
        <w:t xml:space="preserve"> </w:t>
      </w:r>
      <w:r>
        <w:tab/>
        <w:t>Salvo justificado pela natureza da ação, por exemplo, iniciativas de melhoria de competências ou requalificação profissional orientadas para trabalhadores mais velhos ou o recrutamento de membros mais jovens.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removeDateAndTime/>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442A1"/>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pt-PT"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pt-PT"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917E93-815F-4644-9EC7-BF5F9B77ECDB}">
  <ds:schemaRefs>
    <ds:schemaRef ds:uri="http://schemas.openxmlformats.org/officeDocument/2006/bibliography"/>
  </ds:schemaRefs>
</ds:datastoreItem>
</file>

<file path=customXml/itemProps2.xml><?xml version="1.0" encoding="utf-8"?>
<ds:datastoreItem xmlns:ds="http://schemas.openxmlformats.org/officeDocument/2006/customXml" ds:itemID="{9886A3FC-CC64-49BA-927F-EDBE09679DF4}"/>
</file>

<file path=customXml/itemProps3.xml><?xml version="1.0" encoding="utf-8"?>
<ds:datastoreItem xmlns:ds="http://schemas.openxmlformats.org/officeDocument/2006/customXml" ds:itemID="{798DC0BF-8D4F-4C69-98FA-6AFBE15F85ED}"/>
</file>

<file path=customXml/itemProps4.xml><?xml version="1.0" encoding="utf-8"?>
<ds:datastoreItem xmlns:ds="http://schemas.openxmlformats.org/officeDocument/2006/customXml" ds:itemID="{67A2E18E-3F96-403E-85BB-0B9D6584EC03}"/>
</file>

<file path=docProps/app.xml><?xml version="1.0" encoding="utf-8"?>
<Properties xmlns="http://schemas.openxmlformats.org/officeDocument/2006/extended-properties" xmlns:vt="http://schemas.openxmlformats.org/officeDocument/2006/docPropsVTypes">
  <Template>Normal</Template>
  <TotalTime>0</TotalTime>
  <Pages>6</Pages>
  <Words>1785</Words>
  <Characters>10644</Characters>
  <Application>Microsoft Office Word</Application>
  <DocSecurity>4</DocSecurity>
  <Lines>186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2021-02-04T18:21:00Z</dcterms:created>
  <dcterms:modified xsi:type="dcterms:W3CDTF">2021-02-04T18:21:00Z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