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7D4846D9" w:rsidR="000D72F3" w:rsidRPr="0059792B" w:rsidRDefault="00B4325E"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PAKT PRO DOVEDNOSTI</w:t>
      </w:r>
      <w:bookmarkStart w:id="0" w:name="_GoBack"/>
      <w:bookmarkEnd w:id="0"/>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Podpora společných opatření s cílem maximalizovat dopad investic do dovedností má velký potenciál. Na politikách a opatřeních v oblasti dovedností se podílí mnoho aktérů. Jsou to mimo jiné společnosti, pracovníci, poskytovatelé vzdělávání a odborné přípravy, vnitrostátní, regionální a místní orgány, obchodní komory a agentury práce, kdo přispívají k tomu, aby se realizovala opatření zaměřená na prohlubování dovedností a změnu kvalifikace. Společné úsilí může tuto oblast zpřehlednit pro jednotlivce a společnosti v celém hodnotovém řetězci, snížit náklady a zaměřit se na priority.</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Proto Komise zahajuje Pakt pro dovednosti – společný závazek a přístup k rozvoji dovedností. Pakt je pevně zakotven v zásadách evropského pilíře sociálních práv a podporuje cíle Zelené dohody a digitální transformace, jak jsou stanoveny ve sdělení Komise „Silná sociální Evropa pro spravedlivou transformaci“.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Cílem paktu je mobilizovat a motivovat soukromé a veřejné zúčastněné strany k tomu, aby přijaly konkrétní opatření v oblasti prohlubování dovedností a změny kvalifikace osob v produktivním věku a případně spojily úsilí v partnerstvích.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Přistoupení k paktu:</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Všechny zúčastněné strany, které k paktu přistupují, připojují svůj podpis pod chartu a její hlavní zásady a vyjadřují souhlas s jejich dodržováním a prosazováním.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Signatáři paktu se vyzývají, aby své zapojení převedli do konkrétních závazků týkajících se prohlubování dovedností a změny kvalifikace. Závazky musí být v souladu s hlavními zásadami a mohou být založeny na řadě „katalyzátorů“, které ilustrují konkrétní způsoby provádění různých zásad.</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Závazky jsou sledovány pomocí alespoň jednoho klíčového ukazatele výkonnosti, např. počtem osob, které se účastní prohlubování dovedností nebo změny kvalifikace.</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xml:space="preserve"> </w:t>
      </w:r>
      <w:r>
        <w:rPr>
          <w:rFonts w:ascii="EC Square Sans Pro" w:hAnsi="EC Square Sans Pro"/>
          <w:b/>
          <w:sz w:val="22"/>
          <w:szCs w:val="22"/>
        </w:rPr>
        <w:t>Hlavní zásady charty:</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Podpora kultury celoživotního učení pro všechny</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Vytváření silných partnerství v oblasti dovedností</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Sledování nabídky a poptávky po dovednostech a předvídání potřeb v oblasti dovedností</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Boj proti diskriminaci a prosazování rovnosti žen a mužů a rovných příležitostí</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Pakt může být prováděn na úrovni:</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jednotlivých společností nebo jiných soukromých či veřejných organizací</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regionálních nebo místních partnerství</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průmyslových nebo meziodvětvových partnerství</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Podpora v rámci paktu:</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lastRenderedPageBreak/>
        <w:t>Od roku 2021 bude Komise podporovat signatáře paktu prostřednictvím těchto specializovaných služeb:</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Centrum pro vytváření</w:t>
      </w:r>
      <w:r>
        <w:rPr>
          <w:rFonts w:ascii="EC Square Sans Pro" w:hAnsi="EC Square Sans Pro"/>
          <w:b/>
          <w:bCs/>
          <w:sz w:val="22"/>
          <w:szCs w:val="22"/>
        </w:rPr>
        <w:t xml:space="preserve"> sítí</w:t>
      </w:r>
      <w:r>
        <w:rPr>
          <w:rFonts w:ascii="EC Square Sans Pro" w:hAnsi="EC Square Sans Pro"/>
          <w:bCs/>
          <w:sz w:val="22"/>
          <w:szCs w:val="22"/>
        </w:rPr>
        <w:t>, včetně: podpory při hledání partnerů a prvních setkání partnerství; propojení se stávajícími nástroji EU, jako jsou například Europass, Přehled dovedností EU, EURES a síť veřejných služeb zaměstnanosti; podpory činností členů paktu.</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Znalostní</w:t>
      </w:r>
      <w:r>
        <w:rPr>
          <w:rFonts w:ascii="EC Square Sans Pro" w:hAnsi="EC Square Sans Pro"/>
          <w:b/>
          <w:bCs/>
          <w:sz w:val="22"/>
          <w:szCs w:val="22"/>
        </w:rPr>
        <w:t xml:space="preserve"> centrum</w:t>
      </w:r>
      <w:r>
        <w:rPr>
          <w:rFonts w:ascii="EC Square Sans Pro" w:hAnsi="EC Square Sans Pro"/>
          <w:bCs/>
          <w:sz w:val="22"/>
          <w:szCs w:val="22"/>
        </w:rPr>
        <w:t>, včetně: webinářů, seminářů, aktivit zaměřených na vzájemné učení; aktuálních informací o politikách a nástrojích EU; informací o projektech, nástrojích a osvědčených postupech.</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Poradenské</w:t>
      </w:r>
      <w:r>
        <w:rPr>
          <w:rFonts w:ascii="EC Square Sans Pro" w:hAnsi="EC Square Sans Pro"/>
          <w:b/>
          <w:bCs/>
          <w:sz w:val="22"/>
          <w:szCs w:val="22"/>
        </w:rPr>
        <w:t xml:space="preserve"> a zdrojové centrum</w:t>
      </w:r>
      <w:r>
        <w:rPr>
          <w:rFonts w:ascii="EC Square Sans Pro" w:hAnsi="EC Square Sans Pro"/>
          <w:bCs/>
          <w:sz w:val="22"/>
          <w:szCs w:val="22"/>
        </w:rPr>
        <w:t>, včetně: přístupu k informacím o příslušných finančních prostředcích EU; pokynů k určení finančních možností; usnadnění výměny mezi členy paktu a vnitrostátními/regionálními orgány.</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Zastřešující financování z EU, konkrétně Nástroj pro oživení a odolnost a příslušné nástroje financování z víceletého finančního rámce na období</w:t>
      </w:r>
      <w:r>
        <w:t xml:space="preserve"> </w:t>
      </w:r>
      <w:r>
        <w:rPr>
          <w:rFonts w:ascii="EC Square Sans Pro" w:hAnsi="EC Square Sans Pro"/>
          <w:bCs/>
          <w:sz w:val="22"/>
          <w:szCs w:val="22"/>
        </w:rPr>
        <w:t>2021–2027</w:t>
      </w:r>
      <w:r>
        <w:rPr>
          <w:rStyle w:val="FootnoteReference"/>
          <w:rFonts w:ascii="EC Square Sans Pro" w:hAnsi="EC Square Sans Pro" w:cs="Calibri"/>
          <w:bCs/>
          <w:sz w:val="22"/>
          <w:szCs w:val="22"/>
        </w:rPr>
        <w:footnoteReference w:id="2"/>
      </w:r>
      <w:r>
        <w:rPr>
          <w:rFonts w:ascii="EC Square Sans Pro" w:hAnsi="EC Square Sans Pro"/>
          <w:bCs/>
          <w:sz w:val="22"/>
          <w:szCs w:val="22"/>
        </w:rPr>
        <w:t>, může pakt podpořit a mělo by být plně využíváno.</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t>CHARTA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PREAMBULE</w:t>
      </w:r>
    </w:p>
    <w:p w14:paraId="1E55824E" w14:textId="2680106D" w:rsidR="001A1133" w:rsidRDefault="001A1133" w:rsidP="00610108">
      <w:pPr>
        <w:pStyle w:val="Text1"/>
        <w:spacing w:before="120" w:after="0" w:line="276" w:lineRule="auto"/>
        <w:ind w:left="0"/>
        <w:rPr>
          <w:ins w:id="1" w:author="Author"/>
          <w:rFonts w:ascii="EC Square Sans Pro" w:hAnsi="EC Square Sans Pro" w:cstheme="minorHAnsi"/>
          <w:sz w:val="22"/>
          <w:szCs w:val="22"/>
        </w:rPr>
      </w:pPr>
      <w:r>
        <w:rPr>
          <w:rFonts w:ascii="EC Square Sans Pro" w:hAnsi="EC Square Sans Pro"/>
          <w:sz w:val="22"/>
          <w:szCs w:val="22"/>
        </w:rPr>
        <w:t xml:space="preserve">s ohledem na </w:t>
      </w:r>
      <w:r>
        <w:rPr>
          <w:rFonts w:ascii="EC Square Sans Pro" w:hAnsi="EC Square Sans Pro"/>
          <w:b/>
          <w:bCs/>
          <w:sz w:val="22"/>
          <w:szCs w:val="22"/>
        </w:rPr>
        <w:t>evropský pilíř sociálních práv</w:t>
      </w:r>
      <w:r>
        <w:rPr>
          <w:rFonts w:ascii="EC Square Sans Pro" w:hAnsi="EC Square Sans Pro"/>
          <w:sz w:val="22"/>
          <w:szCs w:val="22"/>
        </w:rPr>
        <w:t>, který je kompasem EU pro sociální a inkluzivní oživení a pro spravedlivou transformaci směrem ke klimatické neutralitě a digitální Evropě,</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uznávajíce, že dnešní i budoucí </w:t>
      </w:r>
      <w:r>
        <w:rPr>
          <w:rFonts w:ascii="EC Square Sans Pro" w:hAnsi="EC Square Sans Pro"/>
          <w:b/>
          <w:bCs/>
          <w:sz w:val="22"/>
          <w:szCs w:val="22"/>
        </w:rPr>
        <w:t>digitální ekonomika</w:t>
      </w:r>
      <w:r>
        <w:rPr>
          <w:rFonts w:ascii="EC Square Sans Pro" w:hAnsi="EC Square Sans Pro"/>
          <w:sz w:val="22"/>
          <w:szCs w:val="22"/>
        </w:rPr>
        <w:t xml:space="preserve"> musí mít ve středu zájmu lidi,</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připomínajíce, že Evropa si v </w:t>
      </w:r>
      <w:r>
        <w:rPr>
          <w:rFonts w:ascii="EC Square Sans Pro" w:hAnsi="EC Square Sans Pro"/>
          <w:b/>
          <w:bCs/>
          <w:sz w:val="22"/>
          <w:szCs w:val="22"/>
        </w:rPr>
        <w:t>Zelené dohodě pro Evropu</w:t>
      </w:r>
      <w:r>
        <w:rPr>
          <w:rFonts w:ascii="EC Square Sans Pro" w:hAnsi="EC Square Sans Pro"/>
          <w:sz w:val="22"/>
          <w:szCs w:val="22"/>
        </w:rPr>
        <w:t xml:space="preserve"> vytyčila cíl stát se do roku 2050 prvním klimaticky neutrálním kontinentem,</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podporujíce </w:t>
      </w:r>
      <w:r>
        <w:rPr>
          <w:rFonts w:ascii="EC Square Sans Pro" w:hAnsi="EC Square Sans Pro"/>
          <w:b/>
          <w:bCs/>
          <w:sz w:val="22"/>
          <w:szCs w:val="22"/>
        </w:rPr>
        <w:t>průmyslové strategie a strategie pro malé a střední podniky</w:t>
      </w:r>
      <w:r>
        <w:rPr>
          <w:rFonts w:ascii="EC Square Sans Pro" w:hAnsi="EC Square Sans Pro"/>
          <w:sz w:val="22"/>
          <w:szCs w:val="22"/>
        </w:rPr>
        <w:t xml:space="preserve"> se silnými základy na jednotném trhu, které umožní podnikům inovovat a vyvíjet nové technologie a zároveň podpoří oběhovost a vytváření nových trhů,</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pevně věříce, že dovednosti jsou klíčem jak pro lidi, tak i pro společnosti k uvolnění příležitostí pro větší počet kvalitnějších pracovních míst, jakož i pro růst a konkurenceschopnost, jak je stanoveno v </w:t>
      </w:r>
      <w:r>
        <w:rPr>
          <w:rFonts w:ascii="EC Square Sans Pro" w:hAnsi="EC Square Sans Pro"/>
          <w:b/>
          <w:bCs/>
          <w:sz w:val="22"/>
          <w:szCs w:val="22"/>
        </w:rPr>
        <w:t>Evropské agendě dovedností</w:t>
      </w:r>
      <w:r>
        <w:rPr>
          <w:rFonts w:ascii="EC Square Sans Pro" w:hAnsi="EC Square Sans Pro"/>
          <w:sz w:val="22"/>
          <w:szCs w:val="22"/>
        </w:rPr>
        <w:t xml:space="preserve"> pro udržitelnou konkurenceschopnost, sociální spravedlnost a odolnost,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chápajíce důležitou úlohu společností a sociálních partnerů při určování potřebných dovedností a při podpoře rozvoje příslušných dovedností,</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poukazujíce na význam sociálního dialogu pro přispění k úspěšnému prohlubování dovedností a získávání nových dovedností v Evropě a plně respektujíce vnitrostátní systémy, úlohu sociálních partnerů a kolektivní smlouvy,</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zdůrazňujíce přínosy spolupráce a výměny mezi společnostmi, pracovníky a regionálními a místními orgány a v rámci nich,</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uznávajíce, že pandemie COVID-19 významně ovlivnila naše společnosti a ekonomiky a zdůraznila při tom význam solidarity EU a rychlých opatření na cestě ke spravedlivému a odolnému oživení,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Vítáme Pakt pro dovednosti </w:t>
      </w:r>
      <w:r>
        <w:rPr>
          <w:rFonts w:ascii="EC Square Sans Pro" w:hAnsi="EC Square Sans Pro"/>
          <w:sz w:val="22"/>
          <w:szCs w:val="22"/>
        </w:rPr>
        <w:t xml:space="preserve">iniciovaný Evropskou komisí, jehož cílem je zmobilizovat společné úsilí soukromých a veřejných partnerů o kvalitní investice do dovedností pro všechny osoby v produktivním věku v celé Unii, </w:t>
      </w:r>
      <w:r>
        <w:rPr>
          <w:rFonts w:ascii="EC Square Sans Pro" w:hAnsi="EC Square Sans Pro"/>
          <w:b/>
          <w:bCs/>
          <w:sz w:val="22"/>
          <w:szCs w:val="22"/>
        </w:rPr>
        <w:t>a budeme dodržovat a prosazovat tyto hlavní zásady</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Podpora kultury celoživotního učení pro všechny</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Vytváření silných partnerství v oblasti dovedností</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Sledování nabídky a poptávky po dovednostech a předvídání potřeb v oblasti dovedností</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Boj proti diskriminaci a prosazování rovnosti žen a mužů a rovných příležitostí</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Seznam signatářů</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VYTVÁŘENÍ KONKRÉTNÍCH ZÁVAZKŮ</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Signatáři Paktu pro dovednosti se důrazně vyzývají, aby kromě dodržování a prosazování hlavních zásad předložili konkrétní závazky k provádění opatření zaměřených na prohlubování dovedností nebo změnu kvalifikace, jejichž prostřednictvím budou uskutečňovány hlavní zásady paktu. To lze učinit různými způsoby podle kontextu, průmyslového ekosystému a typu zapojených organizací, např. jednotlivých společností, jiných organizací nebo partnerství.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Níže je uveden orientační a nevyčerpávající seznam katalyzátorů, které mohou podpořit vypracování konkrétních závazků. Při navrhování závazku s konkrétními opatřeními zaměřenými na prohlubování dovedností nebo změnu kvalifikace by organizace nebo partnerství měly zvolit příslušné katalyzátory a podle potřeby je upravit a integrovat tak, aby odpovídaly obsahu jejich závazku. Měly by rovněž uvést alespoň jeden klíčový ukazatel výkonnosti pro sledování závazku, například počet osob, které se opatření zaměřeného na prohlubování dovedností nebo změnu kvalifikace účastní.</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Podpora kultury celoživotního učení pro všechny</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Organizace podporuje dovednosti svých pracovníků, neboť je považuje za nezbytné pro svůj úspěch.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Zaměstnavatelé a pracovníci jsou si vědomi hodnoty a přínosů prohlubování dovedností a změny kvalifikace a jsou motivováni k neustálému zlepšování svých znalostí a dovedností.</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Opatření je vytvářeno pro pracovníky, kteří se na jeho vývoji spolupodílejí, a má podporu všech úrovní řízení.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Je k dispozici poradenství a podpora profesního rozvoje.</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Vynaloženy jsou odpovídající finanční prostředky.</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Pravidelně probíhá monitorování a hodnocení kvality.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Zvláštní pozornost je věnována prohlubování dovedností a změně kvalifikace znevýhodněných skupin, včetně starších pracovníků a dospělých, kteří mají problémy se základními dovednostmi.</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Vedoucím pracovníkům a zaměstnancům se dostává podpory při učení a překonávání překážek, jako je nedostatek času, chybějící finanční prostředky nebo nedostatečné informace o možnostech prohlubování dovedností nebo změny kvalifikace.</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Podnikům jsou k dispozici finanční i nefinanční pobídky k zajištění příležitostí k prohlubování dovedností a změně kvalifikace pro zaměstnavatele a zaměstnance.</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Mikropodnikům a malým a středním podnikům je k dispozici specializovaná podpora (např. nástroje, služby a financování) s cílem vytvořit a udržet kulturu učení v organizaci, a to jak pro vedení, tak pro zaměstnance.</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Vytváření silných partnerství v oblasti dovedností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Zapojena je široká škála zúčastněných stran, zejména sociální partneři, poskytovatelé odborné přípravy, veřejné orgány, výzkumní pracovníci, veřejné nebo soukromé služby zaměstnanosti, obchodní komory a další zprostředkující subjekty a odvětvové organizace.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Partnerství v průmyslovém ekosystému je otevřeno všem příslušným zúčastněným stranám za účelem sdílení odborných znalostí a zdrojů pro účely konkrétních opatření, která lidem umožní udržet si, změnit či najít nová pracovní místa.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Partnerství spolupracuje na evropské, vnitrostátní, regionální, nebo případně na místní úrovni.</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Podporována je meziodvětvová spolupráce mezi příslušnými partnerstvími ve vybraných odvětvích / průmyslových ekosystémech.</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Je zajištěna sdílená odpovědnost a aktivní úloha každého partnera.</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Členové partnerství vedou otevřený dialog a sdílejí a vyměňují si znalosti s cílem zajistit vysokou kvalitu nabídky odborné přípravy, včetně kvality učitelů/školitelů a programů odborné přípravy.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Partnerství staví svá opatření na osvědčených nástrojích, ale rozvíjí rovněž inovativní řešení.</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Sledování nabídky a poptávky po dovednostech a předvídání potřeb v oblasti dovedností</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Pravidelně se sleduje poptávka po dovednostech a nabídka (pracovních a průřezových) dovedností a odpovídající potřeby dovedností se jednotlivým osobám jasně komunikují.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Předvídání dovedností zohledňuje nutnost podporovat digitální a ekologickou transformaci a důsledky demografických změn.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Sledování poptávky po dovednostech a jejich nabídky se zaměřuje na potřeby pracovních sil a společností v oblasti dovedností na regionální, vnitrostátní a evropské úrovni.</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Předvídání dovedností zahrnuje rychlé změny na trhu práce a poskytuje relevantní a včasné informace o potřebách v oblasti dovedností.</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Předvídání dovedností zohledňuje regionální, vnitrostátní a evropský vývoj.</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Mechanismus sledování zahrnuje nejen potřeby po dovednostech vztahujících se k určitému zaměstnání, ale také po průřezových a základních dovednostech.</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Opatření vychází ze zjištěných potřeb v oblasti dovedností, a to jak profesních dovedností, tak i měkkých kompetencí.</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Boj proti diskriminaci a prosazování rovnosti žen a mužů a rovných příležitostí</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Prostřednictvím opatření jsou aktivně podporovány rovné příležitosti bez ohledu na pohlaví, rasový nebo etnický původ, náboženské vyznání nebo přesvědčení, zdravotní postižení, věk nebo sexuální orientaci.</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Opatření zpřístupňuje vysoce kvalitní možnosti prohlubování dovedností a změny kvalifikace pro každého z cílové skupiny bez ohledu na pohlaví, rasový nebo etnický původ, náboženské vyznání nebo přesvědčení, zdravotní postižení, věk</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nebo sexuální orientaci.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Součástí opatření je i validace a uznávání získaných dovedností (včetně alternativních kvalifikací (microcredentials)).</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Zohledněny jsou potřeby a schopnosti jednotlivců, včetně jejich osobních a odborných potřeb (např. změna kariéry ve středním věku).</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Opatření je flexibilní, modulární a pokud možno poskytované pomocí nástrojů (včetně digitálních nástrojů) zajišťujících přístup k učení všem lidem v produktivním věku.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Např. Evropský sociální fond plus, REACT-EU, Fond pro spravedlivou transformaci, Erasmus+, Horizont Evropa, Digitální Evropa, Evropský fond pro regionální rozvoj, InvestEU a modernizační fond.</w:t>
      </w:r>
    </w:p>
  </w:footnote>
  <w:footnote w:id="3">
    <w:p w14:paraId="0A32517E" w14:textId="16C3F6B3" w:rsidR="00774040" w:rsidRDefault="00774040">
      <w:pPr>
        <w:pStyle w:val="FootnoteText"/>
      </w:pPr>
      <w:r>
        <w:rPr>
          <w:rStyle w:val="FootnoteReference"/>
        </w:rPr>
        <w:footnoteRef/>
      </w:r>
      <w:r>
        <w:t xml:space="preserve"> </w:t>
      </w:r>
      <w:r>
        <w:tab/>
        <w:t>Není-li to odůvodněno povahou opatření, např. v případě iniciativ zaměřených na prohlubování dovedností a změnu kvalifikace určených pro starší pracovníky, nebo k náboru mladých lidí.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A2519"/>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13CD5"/>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4325E"/>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C580B"/>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cs-CZ"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2E740D-01C9-4040-8671-4DBA8DE6BE83}">
  <ds:schemaRefs>
    <ds:schemaRef ds:uri="http://schemas.openxmlformats.org/officeDocument/2006/bibliography"/>
  </ds:schemaRefs>
</ds:datastoreItem>
</file>

<file path=customXml/itemProps2.xml><?xml version="1.0" encoding="utf-8"?>
<ds:datastoreItem xmlns:ds="http://schemas.openxmlformats.org/officeDocument/2006/customXml" ds:itemID="{9B246CDF-D80E-41CB-B793-1A69ECA50AF5}"/>
</file>

<file path=customXml/itemProps3.xml><?xml version="1.0" encoding="utf-8"?>
<ds:datastoreItem xmlns:ds="http://schemas.openxmlformats.org/officeDocument/2006/customXml" ds:itemID="{3FDE7F7F-81C9-447F-937F-99D19EC460ED}"/>
</file>

<file path=customXml/itemProps4.xml><?xml version="1.0" encoding="utf-8"?>
<ds:datastoreItem xmlns:ds="http://schemas.openxmlformats.org/officeDocument/2006/customXml" ds:itemID="{C4172029-D870-4CC0-8FDE-93EB6B82CC64}"/>
</file>

<file path=docProps/app.xml><?xml version="1.0" encoding="utf-8"?>
<Properties xmlns="http://schemas.openxmlformats.org/officeDocument/2006/extended-properties" xmlns:vt="http://schemas.openxmlformats.org/officeDocument/2006/docPropsVTypes">
  <Template>Normal.dotm</Template>
  <TotalTime>0</TotalTime>
  <Pages>5</Pages>
  <Words>1596</Words>
  <Characters>9402</Characters>
  <Application>Microsoft Office Word</Application>
  <DocSecurity>0</DocSecurity>
  <Lines>167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