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B5B14" w14:textId="77777777" w:rsidR="00B61126" w:rsidRPr="000E6AFF" w:rsidRDefault="00B61126" w:rsidP="000D72F3">
      <w:pPr>
        <w:pStyle w:val="Briefingtext"/>
        <w:spacing w:after="0" w:line="276" w:lineRule="auto"/>
        <w:rPr>
          <w:rFonts w:ascii="EC Square Sans Pro" w:hAnsi="EC Square Sans Pro"/>
          <w:b/>
          <w:sz w:val="28"/>
          <w:szCs w:val="28"/>
          <w14:ligatures w14:val="none"/>
        </w:rPr>
      </w:pPr>
      <w:bookmarkStart w:id="0" w:name="_GoBack"/>
      <w:bookmarkEnd w:id="0"/>
    </w:p>
    <w:p w14:paraId="41D680A4" w14:textId="77777777" w:rsidR="00B61126" w:rsidRPr="000E6AFF" w:rsidRDefault="00B61126" w:rsidP="000D72F3">
      <w:pPr>
        <w:pStyle w:val="Briefingtext"/>
        <w:spacing w:after="0" w:line="276" w:lineRule="auto"/>
        <w:rPr>
          <w:rFonts w:ascii="EC Square Sans Pro" w:hAnsi="EC Square Sans Pro"/>
          <w:b/>
          <w:sz w:val="28"/>
          <w:szCs w:val="28"/>
          <w14:ligatures w14:val="none"/>
        </w:rPr>
      </w:pPr>
    </w:p>
    <w:p w14:paraId="1133118D" w14:textId="77777777" w:rsidR="00B61126" w:rsidRPr="000E6AFF" w:rsidRDefault="00B61126" w:rsidP="000D72F3">
      <w:pPr>
        <w:pStyle w:val="Briefingtext"/>
        <w:spacing w:after="0" w:line="276" w:lineRule="auto"/>
        <w:rPr>
          <w:rFonts w:ascii="EC Square Sans Pro" w:hAnsi="EC Square Sans Pro"/>
          <w:b/>
          <w:sz w:val="28"/>
          <w:szCs w:val="28"/>
          <w14:ligatures w14:val="none"/>
        </w:rPr>
      </w:pPr>
    </w:p>
    <w:p w14:paraId="5F0AC7A6" w14:textId="77777777" w:rsidR="00B61126" w:rsidRPr="000E6AFF" w:rsidRDefault="00B61126" w:rsidP="000D72F3">
      <w:pPr>
        <w:pStyle w:val="Briefingtext"/>
        <w:spacing w:after="0" w:line="276" w:lineRule="auto"/>
        <w:rPr>
          <w:rFonts w:ascii="EC Square Sans Pro" w:hAnsi="EC Square Sans Pro"/>
          <w:b/>
          <w:sz w:val="28"/>
          <w:szCs w:val="28"/>
          <w14:ligatures w14:val="none"/>
        </w:rPr>
      </w:pPr>
    </w:p>
    <w:p w14:paraId="1E5CB2C5" w14:textId="77777777" w:rsidR="00B61126" w:rsidRPr="000E6AFF" w:rsidRDefault="00B61126" w:rsidP="000D72F3">
      <w:pPr>
        <w:pStyle w:val="Briefingtext"/>
        <w:spacing w:after="0" w:line="276" w:lineRule="auto"/>
        <w:rPr>
          <w:rFonts w:ascii="EC Square Sans Pro" w:hAnsi="EC Square Sans Pro"/>
          <w:b/>
          <w:sz w:val="28"/>
          <w:szCs w:val="28"/>
          <w14:ligatures w14:val="none"/>
        </w:rPr>
      </w:pPr>
    </w:p>
    <w:p w14:paraId="339E13DA" w14:textId="3B9A0272" w:rsidR="000D72F3" w:rsidRPr="000E6AFF" w:rsidRDefault="000D72F3" w:rsidP="000D72F3">
      <w:pPr>
        <w:pStyle w:val="Briefingtext"/>
        <w:spacing w:after="0" w:line="276" w:lineRule="auto"/>
        <w:rPr>
          <w:rFonts w:ascii="EC Square Sans Pro" w:hAnsi="EC Square Sans Pro"/>
          <w:b/>
          <w:sz w:val="28"/>
          <w:szCs w:val="28"/>
          <w14:ligatures w14:val="none"/>
        </w:rPr>
      </w:pPr>
      <w:r w:rsidRPr="000E6AFF">
        <w:rPr>
          <w:rFonts w:ascii="EC Square Sans Pro" w:hAnsi="EC Square Sans Pro"/>
          <w:b/>
          <w:sz w:val="28"/>
          <w:szCs w:val="28"/>
        </w:rPr>
        <w:t xml:space="preserve">PAKT NA RZECZ UMIEJĘTNOŚCI </w:t>
      </w:r>
    </w:p>
    <w:p w14:paraId="526C6CDC" w14:textId="77777777" w:rsidR="000D72F3" w:rsidRPr="000E6AFF" w:rsidRDefault="000D72F3" w:rsidP="000D72F3">
      <w:pPr>
        <w:pStyle w:val="Briefingtext"/>
        <w:spacing w:after="0" w:line="276" w:lineRule="auto"/>
        <w:rPr>
          <w:rFonts w:ascii="EC Square Sans Pro" w:hAnsi="EC Square Sans Pro"/>
          <w14:ligatures w14:val="none"/>
        </w:rPr>
      </w:pPr>
    </w:p>
    <w:p w14:paraId="24990585" w14:textId="77777777" w:rsidR="000D72F3" w:rsidRPr="000E6AFF" w:rsidRDefault="000D72F3" w:rsidP="000D72F3">
      <w:pPr>
        <w:pStyle w:val="Briefingtext"/>
        <w:spacing w:after="0" w:line="276" w:lineRule="auto"/>
        <w:rPr>
          <w:rFonts w:ascii="EC Square Sans Pro" w:hAnsi="EC Square Sans Pro"/>
          <w14:ligatures w14:val="none"/>
        </w:rPr>
      </w:pPr>
      <w:r w:rsidRPr="000E6AFF">
        <w:rPr>
          <w:rFonts w:ascii="EC Square Sans Pro" w:hAnsi="EC Square Sans Pro"/>
        </w:rPr>
        <w:t>Pobudzanie wspólnych działań w celu maksymalizacji wpływu inwestycji w umiejętności ma duży potencjał. Strategie i działania w zakresie umiejętności są realizowane przez wiele podmiotów. Przedsiębiorstwa, pracownicy, organizatorzy kształcenia i szkolenia, władze krajowe, regionalne i lokalne, izby handlowe i służby zatrudnienia to niektóre z podmiotów, dzięki którym podnoszenie i zmiana kwalifikacji stają się rzeczywistością. Wspólne wysiłki mogą zapewnić przejrzystość pracownikom i przedsiębiorstwom w całym łańcuchu wartości, obniżyć koszty i umożliwić skupienie się na priorytetach.</w:t>
      </w:r>
    </w:p>
    <w:p w14:paraId="1D7591BD" w14:textId="77777777" w:rsidR="000D72F3" w:rsidRPr="000E6AFF" w:rsidRDefault="000D72F3" w:rsidP="000D72F3">
      <w:pPr>
        <w:pStyle w:val="Briefingtext"/>
        <w:spacing w:after="0" w:line="276" w:lineRule="auto"/>
        <w:rPr>
          <w:rFonts w:ascii="EC Square Sans Pro" w:hAnsi="EC Square Sans Pro"/>
          <w14:ligatures w14:val="none"/>
        </w:rPr>
      </w:pPr>
    </w:p>
    <w:p w14:paraId="4264D202" w14:textId="77777777" w:rsidR="000D72F3" w:rsidRPr="000E6AFF" w:rsidRDefault="000D72F3" w:rsidP="000D72F3">
      <w:pPr>
        <w:pStyle w:val="Briefingtext"/>
        <w:tabs>
          <w:tab w:val="left" w:pos="-31680"/>
        </w:tabs>
        <w:spacing w:before="120" w:after="0" w:line="276" w:lineRule="auto"/>
        <w:rPr>
          <w:rFonts w:ascii="EC Square Sans Pro" w:hAnsi="EC Square Sans Pro"/>
          <w14:ligatures w14:val="none"/>
        </w:rPr>
      </w:pPr>
      <w:r w:rsidRPr="000E6AFF">
        <w:rPr>
          <w:rFonts w:ascii="EC Square Sans Pro" w:hAnsi="EC Square Sans Pro"/>
        </w:rPr>
        <w:t xml:space="preserve">Dlatego też Komisja inauguruje pakt na rzecz umiejętności – inicjatywę na rzecz wspólnego zaangażowania i podejścia do rozwoju umiejętności. Pakt w dużej mierze oparty jest na zasadach Europejskiego filaru praw socjalnych, a także przyczynia się do osiągania celów Zielonego Ładu i transformacji cyfrowej, jak określono w komunikacie Komisji pt. „Silna Europa socjalna na rzecz sprawiedliwej transformacji”. </w:t>
      </w:r>
    </w:p>
    <w:p w14:paraId="30D9621B" w14:textId="77777777" w:rsidR="000D72F3" w:rsidRPr="000E6AFF" w:rsidRDefault="000D72F3" w:rsidP="000D72F3">
      <w:pPr>
        <w:pStyle w:val="Briefingtext"/>
        <w:tabs>
          <w:tab w:val="left" w:pos="-31680"/>
        </w:tabs>
        <w:spacing w:before="120" w:after="0" w:line="276" w:lineRule="auto"/>
        <w:rPr>
          <w:rFonts w:ascii="EC Square Sans Pro" w:hAnsi="EC Square Sans Pro"/>
          <w14:ligatures w14:val="none"/>
        </w:rPr>
      </w:pPr>
      <w:r w:rsidRPr="000E6AFF">
        <w:rPr>
          <w:rFonts w:ascii="EC Square Sans Pro" w:hAnsi="EC Square Sans Pro"/>
        </w:rPr>
        <w:t xml:space="preserve">Pakt ma na celu zmobilizowanie i zachęcenie zainteresowanych stron wśród podmiotów </w:t>
      </w:r>
      <w:proofErr w:type="gramStart"/>
      <w:r w:rsidRPr="000E6AFF">
        <w:rPr>
          <w:rFonts w:ascii="EC Square Sans Pro" w:hAnsi="EC Square Sans Pro"/>
        </w:rPr>
        <w:t>prywatnych</w:t>
      </w:r>
      <w:proofErr w:type="gramEnd"/>
      <w:r w:rsidRPr="000E6AFF">
        <w:rPr>
          <w:rFonts w:ascii="EC Square Sans Pro" w:hAnsi="EC Square Sans Pro"/>
        </w:rPr>
        <w:t xml:space="preserve"> i publicznych do podjęcia konkretnych działań w zakresie podnoszenia i zmiany kwalifikacji osób w wieku produkcyjnym oraz, w stosownych przypadkach, połączenia wysiłków w ramach partnerstw. </w:t>
      </w:r>
    </w:p>
    <w:p w14:paraId="1E95754F" w14:textId="77777777" w:rsidR="000D72F3" w:rsidRPr="000E6AFF" w:rsidRDefault="000D72F3" w:rsidP="000D72F3">
      <w:pPr>
        <w:pStyle w:val="Briefingtext"/>
        <w:tabs>
          <w:tab w:val="left" w:pos="-31680"/>
        </w:tabs>
        <w:spacing w:before="120" w:after="0" w:line="276" w:lineRule="auto"/>
        <w:rPr>
          <w:rFonts w:ascii="EC Square Sans Pro" w:hAnsi="EC Square Sans Pro" w:cs="Calibri"/>
          <w:b/>
        </w:rPr>
      </w:pPr>
      <w:r w:rsidRPr="000E6AFF">
        <w:rPr>
          <w:rFonts w:ascii="EC Square Sans Pro" w:hAnsi="EC Square Sans Pro"/>
          <w:b/>
        </w:rPr>
        <w:t>Przystąpienie do paktu:</w:t>
      </w:r>
    </w:p>
    <w:p w14:paraId="66C226D2" w14:textId="77777777" w:rsidR="000D72F3" w:rsidRPr="000E6AFF" w:rsidRDefault="000D72F3" w:rsidP="000D72F3">
      <w:pPr>
        <w:pStyle w:val="Briefingtext"/>
        <w:numPr>
          <w:ilvl w:val="3"/>
          <w:numId w:val="8"/>
        </w:numPr>
        <w:tabs>
          <w:tab w:val="left" w:pos="-31680"/>
        </w:tabs>
        <w:spacing w:before="120" w:after="0" w:line="276" w:lineRule="auto"/>
        <w:ind w:left="360"/>
        <w:rPr>
          <w:rFonts w:ascii="EC Square Sans Pro" w:hAnsi="EC Square Sans Pro"/>
          <w14:ligatures w14:val="none"/>
        </w:rPr>
      </w:pPr>
      <w:r w:rsidRPr="000E6AFF">
        <w:rPr>
          <w:rFonts w:ascii="EC Square Sans Pro" w:hAnsi="EC Square Sans Pro"/>
        </w:rPr>
        <w:t xml:space="preserve">Wszystkie zainteresowane strony przystępujące do paktu podpisują się pod Kartą i jej kluczowymi zasadami oraz podejmują zobowiązanie do ich poszanowania i przestrzegania. </w:t>
      </w:r>
    </w:p>
    <w:p w14:paraId="41583F4C" w14:textId="77777777" w:rsidR="000D72F3" w:rsidRPr="000E6AFF" w:rsidRDefault="000D72F3" w:rsidP="000D72F3">
      <w:pPr>
        <w:pStyle w:val="Text1"/>
        <w:numPr>
          <w:ilvl w:val="3"/>
          <w:numId w:val="8"/>
        </w:numPr>
        <w:spacing w:before="120" w:after="0" w:line="276" w:lineRule="auto"/>
        <w:ind w:left="360"/>
        <w:rPr>
          <w:rFonts w:ascii="EC Square Sans Pro" w:hAnsi="EC Square Sans Pro"/>
          <w:sz w:val="22"/>
          <w:szCs w:val="22"/>
        </w:rPr>
      </w:pPr>
      <w:r w:rsidRPr="000E6AFF">
        <w:rPr>
          <w:rFonts w:ascii="EC Square Sans Pro" w:hAnsi="EC Square Sans Pro"/>
          <w:sz w:val="22"/>
          <w:szCs w:val="22"/>
        </w:rPr>
        <w:t>Sygnatariuszy zachęca się do przełożenia swojego zaangażowania na konkretne zobowiązania w zakresie działań na rzecz podnoszenia i zmiany kwalifikacji. Zobowiązania muszą być zgodne z kluczowymi zasadami i mogą opierać się na szeregu „działań wspierających”, które ilustrują konkretne sposoby wdrażania poszczególnych zasad.</w:t>
      </w:r>
    </w:p>
    <w:p w14:paraId="71812DDC" w14:textId="77777777" w:rsidR="000D72F3" w:rsidRPr="000E6AFF" w:rsidRDefault="000D72F3" w:rsidP="000D72F3">
      <w:pPr>
        <w:pStyle w:val="Text1"/>
        <w:numPr>
          <w:ilvl w:val="3"/>
          <w:numId w:val="8"/>
        </w:numPr>
        <w:spacing w:before="120" w:after="0" w:line="276" w:lineRule="auto"/>
        <w:ind w:left="360"/>
        <w:rPr>
          <w:rFonts w:ascii="EC Square Sans Pro" w:hAnsi="EC Square Sans Pro"/>
          <w:sz w:val="22"/>
          <w:szCs w:val="22"/>
        </w:rPr>
      </w:pPr>
      <w:r w:rsidRPr="000E6AFF">
        <w:rPr>
          <w:rFonts w:ascii="EC Square Sans Pro" w:hAnsi="EC Square Sans Pro"/>
          <w:sz w:val="22"/>
          <w:szCs w:val="22"/>
        </w:rPr>
        <w:t>Zobowiązania monitoruje się za pomocą co najmniej jednego kluczowego wskaźnika efektywności, np. liczby osób uczestniczących w działaniach na rzecz podnoszenia lub zmiany kwalifikacji.</w:t>
      </w:r>
    </w:p>
    <w:p w14:paraId="03C9364E" w14:textId="77777777" w:rsidR="000D72F3" w:rsidRPr="000E6AFF" w:rsidRDefault="000D72F3" w:rsidP="000D72F3">
      <w:pPr>
        <w:widowControl w:val="0"/>
        <w:rPr>
          <w:rFonts w:ascii="EC Square Sans Pro" w:hAnsi="EC Square Sans Pro" w:cs="Calibri"/>
          <w:b/>
          <w:sz w:val="22"/>
          <w:szCs w:val="22"/>
        </w:rPr>
      </w:pPr>
      <w:r w:rsidRPr="000E6AFF">
        <w:rPr>
          <w:rFonts w:ascii="Calibri" w:hAnsi="Calibri"/>
          <w:b/>
          <w:sz w:val="22"/>
          <w:szCs w:val="22"/>
        </w:rPr>
        <w:t> </w:t>
      </w:r>
      <w:r w:rsidRPr="000E6AFF">
        <w:rPr>
          <w:rFonts w:ascii="EC Square Sans Pro" w:hAnsi="EC Square Sans Pro"/>
          <w:b/>
          <w:sz w:val="22"/>
          <w:szCs w:val="22"/>
        </w:rPr>
        <w:t>Kluczowe zasady Karty:</w:t>
      </w:r>
    </w:p>
    <w:p w14:paraId="5934F8AB" w14:textId="77777777" w:rsidR="000D72F3" w:rsidRPr="000E6AFF" w:rsidRDefault="000D72F3" w:rsidP="000D72F3">
      <w:pPr>
        <w:pStyle w:val="Text1"/>
        <w:numPr>
          <w:ilvl w:val="0"/>
          <w:numId w:val="9"/>
        </w:numPr>
        <w:spacing w:before="120" w:after="0" w:line="276" w:lineRule="auto"/>
        <w:rPr>
          <w:rFonts w:ascii="EC Square Sans Pro" w:hAnsi="EC Square Sans Pro"/>
          <w:sz w:val="22"/>
          <w:szCs w:val="22"/>
        </w:rPr>
      </w:pPr>
      <w:r w:rsidRPr="000E6AFF">
        <w:rPr>
          <w:rFonts w:ascii="EC Square Sans Pro" w:hAnsi="EC Square Sans Pro"/>
          <w:sz w:val="22"/>
          <w:szCs w:val="22"/>
        </w:rPr>
        <w:t>Propagowanie kultury uczenia się przez całe życie dla wszystkich</w:t>
      </w:r>
    </w:p>
    <w:p w14:paraId="6034AA03" w14:textId="77777777" w:rsidR="000D72F3" w:rsidRPr="000E6AFF" w:rsidRDefault="000D72F3" w:rsidP="000D72F3">
      <w:pPr>
        <w:pStyle w:val="Text1"/>
        <w:numPr>
          <w:ilvl w:val="0"/>
          <w:numId w:val="9"/>
        </w:numPr>
        <w:spacing w:after="0" w:line="276" w:lineRule="auto"/>
        <w:rPr>
          <w:rFonts w:ascii="EC Square Sans Pro" w:hAnsi="EC Square Sans Pro"/>
          <w:sz w:val="22"/>
          <w:szCs w:val="22"/>
        </w:rPr>
      </w:pPr>
      <w:r w:rsidRPr="000E6AFF">
        <w:rPr>
          <w:rFonts w:ascii="EC Square Sans Pro" w:hAnsi="EC Square Sans Pro"/>
          <w:sz w:val="22"/>
          <w:szCs w:val="22"/>
        </w:rPr>
        <w:t>Tworzenie silnych partnerstw na rzecz umiejętności</w:t>
      </w:r>
    </w:p>
    <w:p w14:paraId="5F6B1286" w14:textId="77777777" w:rsidR="000D72F3" w:rsidRPr="000E6AFF" w:rsidRDefault="000D72F3" w:rsidP="000D72F3">
      <w:pPr>
        <w:pStyle w:val="Text1"/>
        <w:numPr>
          <w:ilvl w:val="0"/>
          <w:numId w:val="9"/>
        </w:numPr>
        <w:spacing w:after="0" w:line="276" w:lineRule="auto"/>
        <w:rPr>
          <w:rFonts w:ascii="EC Square Sans Pro" w:hAnsi="EC Square Sans Pro"/>
          <w:sz w:val="22"/>
          <w:szCs w:val="22"/>
        </w:rPr>
      </w:pPr>
      <w:r w:rsidRPr="000E6AFF">
        <w:rPr>
          <w:rFonts w:ascii="EC Square Sans Pro" w:hAnsi="EC Square Sans Pro"/>
          <w:sz w:val="22"/>
          <w:szCs w:val="22"/>
        </w:rPr>
        <w:t>Monitorowanie podaży umiejętności i zapotrzebowania na nie oraz przewidywanie potrzeb w zakresie umiejętności</w:t>
      </w:r>
    </w:p>
    <w:p w14:paraId="29B28BED" w14:textId="77777777" w:rsidR="000D72F3" w:rsidRPr="000E6AFF" w:rsidRDefault="000D72F3" w:rsidP="000D72F3">
      <w:pPr>
        <w:pStyle w:val="Text1"/>
        <w:numPr>
          <w:ilvl w:val="0"/>
          <w:numId w:val="9"/>
        </w:numPr>
        <w:spacing w:after="0" w:line="276" w:lineRule="auto"/>
        <w:rPr>
          <w:rFonts w:ascii="EC Square Sans Pro" w:hAnsi="EC Square Sans Pro"/>
          <w:sz w:val="22"/>
          <w:szCs w:val="22"/>
        </w:rPr>
      </w:pPr>
      <w:r w:rsidRPr="000E6AFF">
        <w:rPr>
          <w:rFonts w:ascii="EC Square Sans Pro" w:hAnsi="EC Square Sans Pro"/>
          <w:sz w:val="22"/>
          <w:szCs w:val="22"/>
        </w:rPr>
        <w:lastRenderedPageBreak/>
        <w:t>Działanie na rzecz wyeliminowania dyskryminacji oraz promowania równouprawnienia płci i równości szans</w:t>
      </w:r>
    </w:p>
    <w:p w14:paraId="41AED67E" w14:textId="77777777" w:rsidR="000D72F3" w:rsidRPr="000E6AFF" w:rsidRDefault="000D72F3" w:rsidP="000D72F3">
      <w:pPr>
        <w:widowControl w:val="0"/>
        <w:rPr>
          <w:rFonts w:ascii="EC Square Sans Pro" w:hAnsi="EC Square Sans Pro" w:cs="Calibri"/>
          <w:b/>
          <w:sz w:val="22"/>
          <w:szCs w:val="22"/>
        </w:rPr>
      </w:pPr>
      <w:r w:rsidRPr="000E6AFF">
        <w:rPr>
          <w:rFonts w:ascii="EC Square Sans Pro" w:hAnsi="EC Square Sans Pro"/>
          <w:b/>
          <w:sz w:val="22"/>
          <w:szCs w:val="22"/>
        </w:rPr>
        <w:t>Pakt może być realizowany przez:</w:t>
      </w:r>
    </w:p>
    <w:p w14:paraId="6B677FFB" w14:textId="77777777" w:rsidR="000D72F3" w:rsidRPr="000E6AFF" w:rsidRDefault="000D72F3" w:rsidP="000D72F3">
      <w:pPr>
        <w:pStyle w:val="Text1"/>
        <w:numPr>
          <w:ilvl w:val="0"/>
          <w:numId w:val="10"/>
        </w:numPr>
        <w:spacing w:before="120" w:after="0" w:line="276" w:lineRule="auto"/>
        <w:rPr>
          <w:rFonts w:ascii="EC Square Sans Pro" w:hAnsi="EC Square Sans Pro"/>
          <w:sz w:val="22"/>
          <w:szCs w:val="22"/>
        </w:rPr>
      </w:pPr>
      <w:r w:rsidRPr="000E6AFF">
        <w:rPr>
          <w:rFonts w:ascii="EC Square Sans Pro" w:hAnsi="EC Square Sans Pro"/>
          <w:sz w:val="22"/>
          <w:szCs w:val="22"/>
        </w:rPr>
        <w:t>Poszczególne przedsiębiorstwa lub inne organizacje prywatne lub publiczne</w:t>
      </w:r>
    </w:p>
    <w:p w14:paraId="7CA5A2B6" w14:textId="77777777" w:rsidR="000D72F3" w:rsidRPr="000E6AFF" w:rsidRDefault="000D72F3" w:rsidP="000D72F3">
      <w:pPr>
        <w:pStyle w:val="Text1"/>
        <w:numPr>
          <w:ilvl w:val="0"/>
          <w:numId w:val="10"/>
        </w:numPr>
        <w:spacing w:after="0" w:line="276" w:lineRule="auto"/>
        <w:rPr>
          <w:rFonts w:ascii="EC Square Sans Pro" w:hAnsi="EC Square Sans Pro"/>
          <w:sz w:val="22"/>
          <w:szCs w:val="22"/>
        </w:rPr>
      </w:pPr>
      <w:r w:rsidRPr="000E6AFF">
        <w:rPr>
          <w:rFonts w:ascii="EC Square Sans Pro" w:hAnsi="EC Square Sans Pro"/>
          <w:sz w:val="22"/>
          <w:szCs w:val="22"/>
        </w:rPr>
        <w:t>Partnerstwa regionalne lub lokalne</w:t>
      </w:r>
    </w:p>
    <w:p w14:paraId="79601AEC" w14:textId="77777777" w:rsidR="000D72F3" w:rsidRPr="000E6AFF" w:rsidRDefault="000D72F3" w:rsidP="000D72F3">
      <w:pPr>
        <w:pStyle w:val="Text1"/>
        <w:numPr>
          <w:ilvl w:val="0"/>
          <w:numId w:val="10"/>
        </w:numPr>
        <w:spacing w:after="0" w:line="276" w:lineRule="auto"/>
        <w:rPr>
          <w:rFonts w:ascii="EC Square Sans Pro" w:hAnsi="EC Square Sans Pro"/>
          <w:sz w:val="22"/>
          <w:szCs w:val="22"/>
        </w:rPr>
      </w:pPr>
      <w:r w:rsidRPr="000E6AFF">
        <w:rPr>
          <w:rFonts w:ascii="EC Square Sans Pro" w:hAnsi="EC Square Sans Pro"/>
          <w:sz w:val="22"/>
          <w:szCs w:val="22"/>
        </w:rPr>
        <w:t>Partnerstwa branżowe lub międzysektorowe</w:t>
      </w:r>
    </w:p>
    <w:p w14:paraId="76F5C4D8" w14:textId="77777777" w:rsidR="000D72F3" w:rsidRPr="000E6AFF" w:rsidRDefault="000D72F3" w:rsidP="000D72F3">
      <w:pPr>
        <w:pStyle w:val="Text1"/>
        <w:spacing w:before="120" w:after="0" w:line="276" w:lineRule="auto"/>
        <w:ind w:left="0"/>
        <w:rPr>
          <w:rFonts w:ascii="EC Square Sans Pro" w:hAnsi="EC Square Sans Pro"/>
          <w:sz w:val="22"/>
          <w:szCs w:val="22"/>
        </w:rPr>
      </w:pPr>
      <w:r w:rsidRPr="000E6AFF">
        <w:rPr>
          <w:rFonts w:ascii="EC Square Sans Pro" w:hAnsi="EC Square Sans Pro"/>
          <w:b/>
          <w:sz w:val="22"/>
          <w:szCs w:val="22"/>
        </w:rPr>
        <w:t>Wsparcie w ramach paktu:</w:t>
      </w:r>
    </w:p>
    <w:p w14:paraId="4D8D8F13" w14:textId="77777777" w:rsidR="000D72F3" w:rsidRPr="000E6AFF" w:rsidRDefault="000D72F3" w:rsidP="000D72F3">
      <w:pPr>
        <w:pStyle w:val="Text1"/>
        <w:spacing w:before="120" w:line="276" w:lineRule="auto"/>
        <w:ind w:left="0"/>
        <w:rPr>
          <w:rFonts w:ascii="EC Square Sans Pro" w:hAnsi="EC Square Sans Pro" w:cs="Calibri"/>
          <w:bCs/>
          <w:sz w:val="22"/>
          <w:szCs w:val="22"/>
        </w:rPr>
      </w:pPr>
      <w:r w:rsidRPr="000E6AFF">
        <w:rPr>
          <w:rFonts w:ascii="EC Square Sans Pro" w:hAnsi="EC Square Sans Pro"/>
          <w:bCs/>
          <w:sz w:val="22"/>
          <w:szCs w:val="22"/>
        </w:rPr>
        <w:t>Od 2021 r. Komisja będzie wspierać sygnatariuszy paktu za pośrednictwem specjalnych służb:</w:t>
      </w:r>
    </w:p>
    <w:p w14:paraId="4AB6A870" w14:textId="77777777" w:rsidR="000D72F3" w:rsidRPr="000E6AFF" w:rsidRDefault="000D72F3" w:rsidP="000D72F3">
      <w:pPr>
        <w:pStyle w:val="Text1"/>
        <w:numPr>
          <w:ilvl w:val="0"/>
          <w:numId w:val="11"/>
        </w:numPr>
        <w:spacing w:before="120" w:after="0" w:line="276" w:lineRule="auto"/>
        <w:rPr>
          <w:rFonts w:ascii="EC Square Sans Pro" w:hAnsi="EC Square Sans Pro" w:cs="Calibri"/>
          <w:bCs/>
          <w:sz w:val="22"/>
          <w:szCs w:val="22"/>
        </w:rPr>
      </w:pPr>
      <w:proofErr w:type="gramStart"/>
      <w:r w:rsidRPr="000E6AFF">
        <w:rPr>
          <w:rFonts w:ascii="EC Square Sans Pro" w:hAnsi="EC Square Sans Pro"/>
          <w:b/>
          <w:sz w:val="22"/>
          <w:szCs w:val="22"/>
        </w:rPr>
        <w:t>centrum</w:t>
      </w:r>
      <w:proofErr w:type="gramEnd"/>
      <w:r w:rsidRPr="000E6AFF">
        <w:rPr>
          <w:rFonts w:ascii="EC Square Sans Pro" w:hAnsi="EC Square Sans Pro"/>
          <w:b/>
          <w:sz w:val="22"/>
          <w:szCs w:val="22"/>
        </w:rPr>
        <w:t xml:space="preserve"> tworzenia sieci kontaktów</w:t>
      </w:r>
      <w:r w:rsidRPr="000E6AFF">
        <w:rPr>
          <w:rFonts w:ascii="EC Square Sans Pro" w:hAnsi="EC Square Sans Pro"/>
          <w:bCs/>
          <w:sz w:val="22"/>
          <w:szCs w:val="22"/>
        </w:rPr>
        <w:t>, w tym przez: wsparcie w znalezieniu partnerów i zorganizowaniu pierwszych spotkań w ramach partnerstw, powiązanie z istniejącymi narzędziami UE, jak np. Europass, unijna panorama umiejętności, EURES i sieć publicznych służb zatrudnienia, oraz promowanie działań podejmowanych przez członków paktu,</w:t>
      </w:r>
    </w:p>
    <w:p w14:paraId="5C68B70A" w14:textId="35672A94" w:rsidR="000D72F3" w:rsidRPr="000E6AFF" w:rsidRDefault="000D72F3" w:rsidP="000D72F3">
      <w:pPr>
        <w:pStyle w:val="Text1"/>
        <w:numPr>
          <w:ilvl w:val="0"/>
          <w:numId w:val="11"/>
        </w:numPr>
        <w:spacing w:before="120" w:after="0" w:line="276" w:lineRule="auto"/>
        <w:rPr>
          <w:rFonts w:ascii="EC Square Sans Pro" w:hAnsi="EC Square Sans Pro" w:cs="Calibri"/>
          <w:bCs/>
          <w:sz w:val="22"/>
          <w:szCs w:val="22"/>
        </w:rPr>
      </w:pPr>
      <w:proofErr w:type="gramStart"/>
      <w:r w:rsidRPr="000E6AFF">
        <w:rPr>
          <w:rFonts w:ascii="EC Square Sans Pro" w:hAnsi="EC Square Sans Pro"/>
          <w:b/>
          <w:sz w:val="22"/>
          <w:szCs w:val="22"/>
        </w:rPr>
        <w:t>centrum</w:t>
      </w:r>
      <w:proofErr w:type="gramEnd"/>
      <w:r w:rsidRPr="000E6AFF">
        <w:rPr>
          <w:rFonts w:ascii="EC Square Sans Pro" w:hAnsi="EC Square Sans Pro"/>
          <w:b/>
          <w:sz w:val="22"/>
          <w:szCs w:val="22"/>
        </w:rPr>
        <w:t xml:space="preserve"> wiedzy</w:t>
      </w:r>
      <w:r w:rsidRPr="000E6AFF">
        <w:rPr>
          <w:rFonts w:ascii="EC Square Sans Pro" w:hAnsi="EC Square Sans Pro"/>
          <w:bCs/>
          <w:sz w:val="22"/>
          <w:szCs w:val="22"/>
        </w:rPr>
        <w:t xml:space="preserve">, w tym przez: seminaria internetowe i seminaria polegające na wzajemnym uczeniu się, najnowsze informacje na temat polityk i instrumentów UE </w:t>
      </w:r>
      <w:r w:rsidR="00272487" w:rsidRPr="000E6AFF">
        <w:rPr>
          <w:rFonts w:ascii="EC Square Sans Pro" w:hAnsi="EC Square Sans Pro"/>
          <w:bCs/>
          <w:sz w:val="22"/>
          <w:szCs w:val="22"/>
        </w:rPr>
        <w:t>oraz informacje</w:t>
      </w:r>
      <w:r w:rsidRPr="000E6AFF">
        <w:rPr>
          <w:rFonts w:ascii="EC Square Sans Pro" w:hAnsi="EC Square Sans Pro"/>
          <w:bCs/>
          <w:sz w:val="22"/>
          <w:szCs w:val="22"/>
        </w:rPr>
        <w:t xml:space="preserve"> o projektach, narzędziach, instrumentach i najlepszych praktykach,</w:t>
      </w:r>
    </w:p>
    <w:p w14:paraId="3842D91E" w14:textId="77777777" w:rsidR="000D72F3" w:rsidRPr="000E6AFF" w:rsidRDefault="000D72F3" w:rsidP="000D72F3">
      <w:pPr>
        <w:pStyle w:val="Text1"/>
        <w:numPr>
          <w:ilvl w:val="0"/>
          <w:numId w:val="11"/>
        </w:numPr>
        <w:spacing w:before="120" w:after="0" w:line="276" w:lineRule="auto"/>
        <w:rPr>
          <w:rFonts w:ascii="EC Square Sans Pro" w:hAnsi="EC Square Sans Pro" w:cs="Calibri"/>
          <w:bCs/>
          <w:sz w:val="22"/>
          <w:szCs w:val="22"/>
        </w:rPr>
      </w:pPr>
      <w:proofErr w:type="gramStart"/>
      <w:r w:rsidRPr="000E6AFF">
        <w:rPr>
          <w:rFonts w:ascii="EC Square Sans Pro" w:hAnsi="EC Square Sans Pro"/>
          <w:b/>
          <w:sz w:val="22"/>
          <w:szCs w:val="22"/>
        </w:rPr>
        <w:t>centrum</w:t>
      </w:r>
      <w:proofErr w:type="gramEnd"/>
      <w:r w:rsidRPr="000E6AFF">
        <w:rPr>
          <w:rFonts w:ascii="EC Square Sans Pro" w:hAnsi="EC Square Sans Pro"/>
          <w:b/>
          <w:sz w:val="22"/>
          <w:szCs w:val="22"/>
        </w:rPr>
        <w:t xml:space="preserve"> doradztwa </w:t>
      </w:r>
      <w:r w:rsidRPr="000E6AFF">
        <w:rPr>
          <w:rFonts w:ascii="EC Square Sans Pro" w:hAnsi="EC Square Sans Pro"/>
          <w:b/>
          <w:bCs/>
          <w:sz w:val="22"/>
          <w:szCs w:val="22"/>
        </w:rPr>
        <w:t>i zasobów</w:t>
      </w:r>
      <w:r w:rsidRPr="000E6AFF">
        <w:rPr>
          <w:rFonts w:ascii="EC Square Sans Pro" w:hAnsi="EC Square Sans Pro"/>
          <w:bCs/>
          <w:sz w:val="22"/>
          <w:szCs w:val="22"/>
        </w:rPr>
        <w:t>, w tym przez: dostęp do informacji o odpowiednim finansowaniu unijnym, doradztwo pozwalające określić możliwości finansowe oraz ułatwianie wymiany informacji między członkami paktu a władzami krajowymi/regionalnymi.</w:t>
      </w:r>
    </w:p>
    <w:p w14:paraId="77902F9C" w14:textId="77777777" w:rsidR="000D72F3" w:rsidRPr="000E6AFF" w:rsidRDefault="000D72F3" w:rsidP="000D72F3">
      <w:pPr>
        <w:pStyle w:val="Text1"/>
        <w:spacing w:before="120" w:after="0" w:line="276" w:lineRule="auto"/>
        <w:ind w:left="0" w:right="113"/>
        <w:rPr>
          <w:rFonts w:ascii="EC Square Sans Pro" w:hAnsi="EC Square Sans Pro" w:cstheme="minorHAnsi"/>
          <w:sz w:val="22"/>
          <w:szCs w:val="22"/>
        </w:rPr>
      </w:pPr>
      <w:r w:rsidRPr="000E6AFF">
        <w:rPr>
          <w:rFonts w:ascii="EC Square Sans Pro" w:hAnsi="EC Square Sans Pro"/>
          <w:bCs/>
          <w:sz w:val="22"/>
          <w:szCs w:val="22"/>
        </w:rPr>
        <w:t>Nadrzędne finansowanie unijne – mianowicie Instrument na rzecz Odbudowy i Zwiększania Odporności oraz odpowiednie instrumenty finansowania w ramach wieloletnich ram finansowych</w:t>
      </w:r>
      <w:r w:rsidRPr="000E6AFF">
        <w:t xml:space="preserve"> </w:t>
      </w:r>
      <w:r w:rsidRPr="000E6AFF">
        <w:rPr>
          <w:rFonts w:ascii="EC Square Sans Pro" w:hAnsi="EC Square Sans Pro"/>
          <w:bCs/>
          <w:sz w:val="22"/>
          <w:szCs w:val="22"/>
        </w:rPr>
        <w:t>na lata 2021–2027</w:t>
      </w:r>
      <w:r w:rsidRPr="000E6AFF">
        <w:rPr>
          <w:rStyle w:val="FootnoteReference"/>
          <w:rFonts w:ascii="EC Square Sans Pro" w:hAnsi="EC Square Sans Pro" w:cs="Calibri"/>
          <w:bCs/>
          <w:sz w:val="22"/>
          <w:szCs w:val="22"/>
        </w:rPr>
        <w:footnoteReference w:id="2"/>
      </w:r>
      <w:r w:rsidRPr="000E6AFF">
        <w:rPr>
          <w:rFonts w:ascii="EC Square Sans Pro" w:hAnsi="EC Square Sans Pro"/>
          <w:bCs/>
          <w:sz w:val="22"/>
          <w:szCs w:val="22"/>
        </w:rPr>
        <w:t xml:space="preserve"> – może być pomocne w realizowaniu paktu i należy je w pełni wykorzystać.</w:t>
      </w:r>
    </w:p>
    <w:p w14:paraId="3491745F" w14:textId="77777777" w:rsidR="000D72F3" w:rsidRPr="000E6AFF" w:rsidRDefault="000D72F3">
      <w:pPr>
        <w:spacing w:before="0" w:after="0"/>
        <w:jc w:val="left"/>
        <w:rPr>
          <w:rFonts w:ascii="EC Square Sans Pro" w:hAnsi="EC Square Sans Pro" w:cstheme="minorHAnsi"/>
          <w:b/>
          <w:sz w:val="28"/>
          <w:szCs w:val="28"/>
        </w:rPr>
      </w:pPr>
      <w:r w:rsidRPr="000E6AFF">
        <w:br w:type="page"/>
      </w:r>
    </w:p>
    <w:p w14:paraId="2A1561AC" w14:textId="4BA50737" w:rsidR="000D72F3" w:rsidRPr="000E6AFF" w:rsidRDefault="000D72F3" w:rsidP="000D72F3">
      <w:pPr>
        <w:pStyle w:val="Text1"/>
        <w:spacing w:before="120" w:after="0" w:line="276" w:lineRule="auto"/>
        <w:ind w:left="0"/>
        <w:jc w:val="center"/>
        <w:rPr>
          <w:rFonts w:ascii="EC Square Sans Pro" w:hAnsi="EC Square Sans Pro" w:cstheme="minorHAnsi"/>
          <w:b/>
          <w:sz w:val="28"/>
          <w:szCs w:val="28"/>
        </w:rPr>
      </w:pPr>
      <w:r w:rsidRPr="000E6AFF">
        <w:rPr>
          <w:rFonts w:ascii="EC Square Sans Pro" w:hAnsi="EC Square Sans Pro"/>
          <w:b/>
          <w:sz w:val="28"/>
          <w:szCs w:val="28"/>
        </w:rPr>
        <w:lastRenderedPageBreak/>
        <w:t>KARTA</w:t>
      </w:r>
    </w:p>
    <w:p w14:paraId="1C6F0AF6" w14:textId="1C920D4F" w:rsidR="002E3766" w:rsidRPr="000E6AFF" w:rsidRDefault="00C82E8D" w:rsidP="00610108">
      <w:pPr>
        <w:pStyle w:val="Text1"/>
        <w:spacing w:before="120" w:after="0" w:line="276" w:lineRule="auto"/>
        <w:ind w:left="0"/>
        <w:rPr>
          <w:rFonts w:ascii="EC Square Sans Pro" w:hAnsi="EC Square Sans Pro" w:cstheme="minorHAnsi"/>
          <w:b/>
          <w:sz w:val="28"/>
          <w:szCs w:val="28"/>
        </w:rPr>
      </w:pPr>
      <w:r w:rsidRPr="000E6AFF">
        <w:rPr>
          <w:rFonts w:ascii="EC Square Sans Pro" w:hAnsi="EC Square Sans Pro"/>
          <w:b/>
          <w:sz w:val="28"/>
          <w:szCs w:val="28"/>
        </w:rPr>
        <w:t>PREAMBUŁA</w:t>
      </w:r>
    </w:p>
    <w:p w14:paraId="1E55824E" w14:textId="2680106D" w:rsidR="001A1133" w:rsidRPr="000E6AFF" w:rsidRDefault="001A1133" w:rsidP="00610108">
      <w:pPr>
        <w:pStyle w:val="Text1"/>
        <w:spacing w:before="120" w:after="0" w:line="276" w:lineRule="auto"/>
        <w:ind w:left="0"/>
        <w:rPr>
          <w:ins w:id="1" w:author="Author"/>
          <w:rFonts w:ascii="EC Square Sans Pro" w:hAnsi="EC Square Sans Pro" w:cstheme="minorHAnsi"/>
          <w:sz w:val="22"/>
          <w:szCs w:val="22"/>
        </w:rPr>
      </w:pPr>
      <w:r w:rsidRPr="000E6AFF">
        <w:rPr>
          <w:rFonts w:ascii="EC Square Sans Pro" w:hAnsi="EC Square Sans Pro"/>
          <w:sz w:val="22"/>
          <w:szCs w:val="22"/>
        </w:rPr>
        <w:t xml:space="preserve">Uwzględniając </w:t>
      </w:r>
      <w:r w:rsidRPr="000E6AFF">
        <w:rPr>
          <w:rFonts w:ascii="EC Square Sans Pro" w:hAnsi="EC Square Sans Pro"/>
          <w:b/>
          <w:sz w:val="22"/>
          <w:szCs w:val="22"/>
        </w:rPr>
        <w:t>Europejski filar praw socjalnych</w:t>
      </w:r>
      <w:r w:rsidRPr="000E6AFF">
        <w:rPr>
          <w:rFonts w:ascii="EC Square Sans Pro" w:hAnsi="EC Square Sans Pro"/>
          <w:sz w:val="22"/>
          <w:szCs w:val="22"/>
        </w:rPr>
        <w:t>, który wyznacza kierunek działań UE na rzecz odbudowy sprzyjającej włączeniu społecznemu, a także na rzecz sprawiedliwej transformacji w kierunku neutralności klimatycznej i cyfrowej Europy,</w:t>
      </w:r>
    </w:p>
    <w:p w14:paraId="5E808EE4" w14:textId="402D9D56" w:rsidR="00F17B01" w:rsidRPr="000E6AFF" w:rsidRDefault="0034151C" w:rsidP="00610108">
      <w:pPr>
        <w:pStyle w:val="Text1"/>
        <w:spacing w:before="120" w:after="0" w:line="276" w:lineRule="auto"/>
        <w:ind w:left="0"/>
        <w:rPr>
          <w:rFonts w:ascii="EC Square Sans Pro" w:hAnsi="EC Square Sans Pro" w:cstheme="minorHAnsi"/>
          <w:sz w:val="22"/>
          <w:szCs w:val="22"/>
        </w:rPr>
      </w:pPr>
      <w:proofErr w:type="gramStart"/>
      <w:r w:rsidRPr="000E6AFF">
        <w:rPr>
          <w:rFonts w:ascii="EC Square Sans Pro" w:hAnsi="EC Square Sans Pro"/>
          <w:sz w:val="22"/>
          <w:szCs w:val="22"/>
        </w:rPr>
        <w:t>uznając</w:t>
      </w:r>
      <w:proofErr w:type="gramEnd"/>
      <w:r w:rsidRPr="000E6AFF">
        <w:rPr>
          <w:rFonts w:ascii="EC Square Sans Pro" w:hAnsi="EC Square Sans Pro"/>
          <w:sz w:val="22"/>
          <w:szCs w:val="22"/>
        </w:rPr>
        <w:t xml:space="preserve">, że najważniejszym elementem </w:t>
      </w:r>
      <w:r w:rsidRPr="000E6AFF">
        <w:rPr>
          <w:rFonts w:ascii="EC Square Sans Pro" w:hAnsi="EC Square Sans Pro"/>
          <w:b/>
          <w:sz w:val="22"/>
          <w:szCs w:val="22"/>
        </w:rPr>
        <w:t>gospodarki cyfrowej</w:t>
      </w:r>
      <w:r w:rsidRPr="000E6AFF">
        <w:rPr>
          <w:rFonts w:ascii="EC Square Sans Pro" w:hAnsi="EC Square Sans Pro"/>
          <w:sz w:val="22"/>
          <w:szCs w:val="22"/>
        </w:rPr>
        <w:t>, zarówno teraz, jak i w przyszłości, muszą być ludzie,</w:t>
      </w:r>
    </w:p>
    <w:p w14:paraId="133317F9" w14:textId="2DF09309" w:rsidR="00F17B01" w:rsidRPr="000E6AFF" w:rsidRDefault="00F17B01" w:rsidP="00610108">
      <w:pPr>
        <w:pStyle w:val="Text1"/>
        <w:spacing w:before="120" w:after="0" w:line="276" w:lineRule="auto"/>
        <w:ind w:left="0"/>
        <w:rPr>
          <w:rFonts w:ascii="EC Square Sans Pro" w:hAnsi="EC Square Sans Pro" w:cstheme="minorHAnsi"/>
          <w:sz w:val="22"/>
          <w:szCs w:val="22"/>
        </w:rPr>
      </w:pPr>
      <w:proofErr w:type="gramStart"/>
      <w:r w:rsidRPr="000E6AFF">
        <w:rPr>
          <w:rFonts w:ascii="EC Square Sans Pro" w:hAnsi="EC Square Sans Pro"/>
          <w:sz w:val="22"/>
          <w:szCs w:val="22"/>
        </w:rPr>
        <w:t>uznając</w:t>
      </w:r>
      <w:proofErr w:type="gramEnd"/>
      <w:r w:rsidRPr="000E6AFF">
        <w:rPr>
          <w:rFonts w:ascii="EC Square Sans Pro" w:hAnsi="EC Square Sans Pro"/>
          <w:sz w:val="22"/>
          <w:szCs w:val="22"/>
        </w:rPr>
        <w:t xml:space="preserve">, że poprzez </w:t>
      </w:r>
      <w:r w:rsidRPr="000E6AFF">
        <w:rPr>
          <w:rFonts w:ascii="EC Square Sans Pro" w:hAnsi="EC Square Sans Pro"/>
          <w:b/>
          <w:sz w:val="22"/>
          <w:szCs w:val="22"/>
        </w:rPr>
        <w:t>Europejski Zielony Ład</w:t>
      </w:r>
      <w:r w:rsidRPr="000E6AFF">
        <w:rPr>
          <w:rFonts w:ascii="EC Square Sans Pro" w:hAnsi="EC Square Sans Pro"/>
          <w:sz w:val="22"/>
          <w:szCs w:val="22"/>
        </w:rPr>
        <w:t xml:space="preserve"> Europa określiła swój ambitny cel stania się pierwszym kontynentem neutralnym dla klimatu do 2050 r.,</w:t>
      </w:r>
    </w:p>
    <w:p w14:paraId="4EF65972" w14:textId="7A984839" w:rsidR="00F17B01" w:rsidRPr="000E6AFF" w:rsidRDefault="00F17B01" w:rsidP="00610108">
      <w:pPr>
        <w:pStyle w:val="Text1"/>
        <w:spacing w:before="120" w:after="0" w:line="276" w:lineRule="auto"/>
        <w:ind w:left="0"/>
        <w:rPr>
          <w:rFonts w:ascii="EC Square Sans Pro" w:hAnsi="EC Square Sans Pro" w:cstheme="minorHAnsi"/>
          <w:sz w:val="22"/>
          <w:szCs w:val="22"/>
        </w:rPr>
      </w:pPr>
      <w:proofErr w:type="gramStart"/>
      <w:r w:rsidRPr="000E6AFF">
        <w:rPr>
          <w:rFonts w:ascii="EC Square Sans Pro" w:hAnsi="EC Square Sans Pro"/>
          <w:sz w:val="22"/>
          <w:szCs w:val="22"/>
        </w:rPr>
        <w:t>wspierając</w:t>
      </w:r>
      <w:proofErr w:type="gramEnd"/>
      <w:r w:rsidRPr="000E6AFF">
        <w:rPr>
          <w:rFonts w:ascii="EC Square Sans Pro" w:hAnsi="EC Square Sans Pro"/>
          <w:sz w:val="22"/>
          <w:szCs w:val="22"/>
        </w:rPr>
        <w:t xml:space="preserve"> </w:t>
      </w:r>
      <w:r w:rsidRPr="000E6AFF">
        <w:rPr>
          <w:rFonts w:ascii="EC Square Sans Pro" w:hAnsi="EC Square Sans Pro"/>
          <w:b/>
          <w:sz w:val="22"/>
          <w:szCs w:val="22"/>
        </w:rPr>
        <w:t>strategię przemysłową i strategię na rzecz MŚP</w:t>
      </w:r>
      <w:r w:rsidRPr="000E6AFF">
        <w:rPr>
          <w:rFonts w:ascii="EC Square Sans Pro" w:hAnsi="EC Square Sans Pro"/>
          <w:sz w:val="22"/>
          <w:szCs w:val="22"/>
        </w:rPr>
        <w:t>, silnie zakorzenione w jednolitym rynku i umożliwiające przedsiębiorstwom wprowadzanie innowacji i opracowywanie nowych technologii, co wspiera obieg zamknięty i przyczynia się do tworzenia nowych rynków,</w:t>
      </w:r>
    </w:p>
    <w:p w14:paraId="04E5A792" w14:textId="77777777" w:rsidR="00DB3BD1" w:rsidRPr="000E6AFF" w:rsidRDefault="00DB3BD1" w:rsidP="00DB3BD1">
      <w:pPr>
        <w:pStyle w:val="Text1"/>
        <w:spacing w:before="120" w:after="0" w:line="276" w:lineRule="auto"/>
        <w:ind w:left="0"/>
        <w:rPr>
          <w:rFonts w:ascii="EC Square Sans Pro" w:hAnsi="EC Square Sans Pro" w:cstheme="minorHAnsi"/>
          <w:sz w:val="22"/>
          <w:szCs w:val="22"/>
        </w:rPr>
      </w:pPr>
      <w:proofErr w:type="gramStart"/>
      <w:r w:rsidRPr="000E6AFF">
        <w:rPr>
          <w:rFonts w:ascii="EC Square Sans Pro" w:hAnsi="EC Square Sans Pro"/>
          <w:sz w:val="22"/>
          <w:szCs w:val="22"/>
        </w:rPr>
        <w:t>żywiąc</w:t>
      </w:r>
      <w:proofErr w:type="gramEnd"/>
      <w:r w:rsidRPr="000E6AFF">
        <w:rPr>
          <w:rFonts w:ascii="EC Square Sans Pro" w:hAnsi="EC Square Sans Pro"/>
          <w:sz w:val="22"/>
          <w:szCs w:val="22"/>
        </w:rPr>
        <w:t xml:space="preserve"> głębokie przekonanie, że umiejętności mają kluczowe znaczenie zarówno dla ludzi i przedsiębiorstw, ponieważ dzięki nim można tworzyć więcej lepszych miejsc pracy, jak i dla wzrostu gospodarczego i konkurencyjności, jak określono w </w:t>
      </w:r>
      <w:r w:rsidRPr="000E6AFF">
        <w:rPr>
          <w:rFonts w:ascii="EC Square Sans Pro" w:hAnsi="EC Square Sans Pro"/>
          <w:b/>
          <w:sz w:val="22"/>
          <w:szCs w:val="22"/>
        </w:rPr>
        <w:t>Europejskim programie na rzecz umiejętności</w:t>
      </w:r>
      <w:r w:rsidRPr="000E6AFF">
        <w:rPr>
          <w:rFonts w:ascii="EC Square Sans Pro" w:hAnsi="EC Square Sans Pro"/>
          <w:sz w:val="22"/>
          <w:szCs w:val="22"/>
        </w:rPr>
        <w:t xml:space="preserve"> służącym zrównoważonej konkurencyjności, sprawiedliwości społecznej i odporności, </w:t>
      </w:r>
    </w:p>
    <w:p w14:paraId="3EA00EB9" w14:textId="08100852" w:rsidR="00940BD0" w:rsidRPr="000E6AFF" w:rsidRDefault="00940BD0" w:rsidP="00610108">
      <w:pPr>
        <w:pStyle w:val="Text1"/>
        <w:spacing w:before="120" w:after="0" w:line="276" w:lineRule="auto"/>
        <w:ind w:left="0"/>
        <w:rPr>
          <w:rFonts w:ascii="EC Square Sans Pro" w:hAnsi="EC Square Sans Pro" w:cstheme="minorHAnsi"/>
          <w:sz w:val="22"/>
          <w:szCs w:val="22"/>
        </w:rPr>
      </w:pPr>
      <w:proofErr w:type="gramStart"/>
      <w:r w:rsidRPr="000E6AFF">
        <w:rPr>
          <w:rFonts w:ascii="EC Square Sans Pro" w:hAnsi="EC Square Sans Pro"/>
          <w:sz w:val="22"/>
          <w:szCs w:val="22"/>
        </w:rPr>
        <w:t>rozumiejąc</w:t>
      </w:r>
      <w:proofErr w:type="gramEnd"/>
      <w:r w:rsidRPr="000E6AFF">
        <w:rPr>
          <w:rFonts w:ascii="EC Square Sans Pro" w:hAnsi="EC Square Sans Pro"/>
          <w:sz w:val="22"/>
          <w:szCs w:val="22"/>
        </w:rPr>
        <w:t xml:space="preserve"> istotną rolę, jaką pełnią przedsiębiorstwa i partnerzy społeczni w określaniu potrzeb w zakresie umiejętności i wspieraniu rozwoju odpowiednich umiejętności,</w:t>
      </w:r>
    </w:p>
    <w:p w14:paraId="55E6A4DF" w14:textId="68E35914" w:rsidR="00780965" w:rsidRPr="000E6AFF" w:rsidRDefault="00780965" w:rsidP="00610108">
      <w:pPr>
        <w:pStyle w:val="Text1"/>
        <w:spacing w:before="120" w:after="0" w:line="276" w:lineRule="auto"/>
        <w:ind w:left="0"/>
        <w:rPr>
          <w:rFonts w:ascii="EC Square Sans Pro" w:hAnsi="EC Square Sans Pro" w:cstheme="minorHAnsi"/>
          <w:sz w:val="22"/>
          <w:szCs w:val="22"/>
        </w:rPr>
      </w:pPr>
      <w:proofErr w:type="gramStart"/>
      <w:r w:rsidRPr="000E6AFF">
        <w:rPr>
          <w:rFonts w:ascii="EC Square Sans Pro" w:hAnsi="EC Square Sans Pro"/>
          <w:sz w:val="22"/>
          <w:szCs w:val="22"/>
        </w:rPr>
        <w:t>podkreślając</w:t>
      </w:r>
      <w:proofErr w:type="gramEnd"/>
      <w:r w:rsidRPr="000E6AFF">
        <w:rPr>
          <w:rFonts w:ascii="EC Square Sans Pro" w:hAnsi="EC Square Sans Pro"/>
          <w:sz w:val="22"/>
          <w:szCs w:val="22"/>
        </w:rPr>
        <w:t xml:space="preserve"> znaczenie dialogu społecznego w przyczynianiu się do skutecznego podnoszenia i zmiany kwalifikacji w Europie oraz mając pełne poszanowanie dla systemów krajowych, roli partnerów społecznych i układów zbiorowych,</w:t>
      </w:r>
    </w:p>
    <w:p w14:paraId="44B30350" w14:textId="5C8315D9" w:rsidR="0080312A" w:rsidRPr="000E6AFF" w:rsidRDefault="00AE6569" w:rsidP="00610108">
      <w:pPr>
        <w:pStyle w:val="Text1"/>
        <w:spacing w:before="120" w:after="0" w:line="276" w:lineRule="auto"/>
        <w:ind w:left="0"/>
        <w:rPr>
          <w:rFonts w:ascii="EC Square Sans Pro" w:hAnsi="EC Square Sans Pro" w:cstheme="minorHAnsi"/>
          <w:sz w:val="22"/>
          <w:szCs w:val="22"/>
        </w:rPr>
      </w:pPr>
      <w:proofErr w:type="gramStart"/>
      <w:r w:rsidRPr="000E6AFF">
        <w:rPr>
          <w:rFonts w:ascii="EC Square Sans Pro" w:hAnsi="EC Square Sans Pro"/>
          <w:sz w:val="22"/>
          <w:szCs w:val="22"/>
        </w:rPr>
        <w:t>zwracając</w:t>
      </w:r>
      <w:proofErr w:type="gramEnd"/>
      <w:r w:rsidRPr="000E6AFF">
        <w:rPr>
          <w:rFonts w:ascii="EC Square Sans Pro" w:hAnsi="EC Square Sans Pro"/>
          <w:sz w:val="22"/>
          <w:szCs w:val="22"/>
        </w:rPr>
        <w:t xml:space="preserve"> uwagę na korzyści płynące ze współpracy i wymiany informacji między przedsiębiorstwami, pracownikami oraz władzami regionalnymi i lokalnymi,</w:t>
      </w:r>
    </w:p>
    <w:p w14:paraId="476199EA" w14:textId="4E273BD0" w:rsidR="002E3766" w:rsidRPr="000E6AFF" w:rsidRDefault="003A2765" w:rsidP="00610108">
      <w:pPr>
        <w:pStyle w:val="Text1"/>
        <w:spacing w:before="120" w:after="0" w:line="276" w:lineRule="auto"/>
        <w:ind w:left="0"/>
        <w:rPr>
          <w:rFonts w:ascii="EC Square Sans Pro" w:hAnsi="EC Square Sans Pro" w:cstheme="minorHAnsi"/>
          <w:sz w:val="22"/>
          <w:szCs w:val="22"/>
        </w:rPr>
      </w:pPr>
      <w:proofErr w:type="gramStart"/>
      <w:r w:rsidRPr="000E6AFF">
        <w:rPr>
          <w:rFonts w:ascii="EC Square Sans Pro" w:hAnsi="EC Square Sans Pro"/>
          <w:sz w:val="22"/>
          <w:szCs w:val="22"/>
        </w:rPr>
        <w:t>uznając</w:t>
      </w:r>
      <w:proofErr w:type="gramEnd"/>
      <w:r w:rsidRPr="000E6AFF">
        <w:rPr>
          <w:rFonts w:ascii="EC Square Sans Pro" w:hAnsi="EC Square Sans Pro"/>
          <w:sz w:val="22"/>
          <w:szCs w:val="22"/>
        </w:rPr>
        <w:t xml:space="preserve">, że pandemia COVID-19 w znaczny sposób wpłynęła na nasze społeczeństwa i gospodarki oraz pokazała, jak duże znaczenie ma solidarność UE oraz szybkie działania na rzecz sprawiedliwej społecznie i odpornej odbudowy gospodarki, </w:t>
      </w:r>
    </w:p>
    <w:p w14:paraId="2E3800BA" w14:textId="1F648D91" w:rsidR="002E3766" w:rsidRPr="000E6AFF" w:rsidRDefault="002E3766" w:rsidP="00610108">
      <w:pPr>
        <w:pStyle w:val="Text1"/>
        <w:spacing w:before="120" w:after="0" w:line="276" w:lineRule="auto"/>
        <w:ind w:left="0"/>
        <w:rPr>
          <w:rFonts w:ascii="EC Square Sans Pro" w:hAnsi="EC Square Sans Pro" w:cstheme="minorHAnsi"/>
          <w:sz w:val="22"/>
          <w:szCs w:val="22"/>
        </w:rPr>
      </w:pPr>
      <w:proofErr w:type="gramStart"/>
      <w:r w:rsidRPr="000E6AFF">
        <w:rPr>
          <w:rFonts w:ascii="EC Square Sans Pro" w:hAnsi="EC Square Sans Pro"/>
          <w:b/>
          <w:sz w:val="22"/>
          <w:szCs w:val="22"/>
        </w:rPr>
        <w:t>z</w:t>
      </w:r>
      <w:proofErr w:type="gramEnd"/>
      <w:r w:rsidRPr="000E6AFF">
        <w:rPr>
          <w:rFonts w:ascii="EC Square Sans Pro" w:hAnsi="EC Square Sans Pro"/>
          <w:b/>
          <w:sz w:val="22"/>
          <w:szCs w:val="22"/>
        </w:rPr>
        <w:t xml:space="preserve"> zadowoleniem przyjmujemy pakt na rzecz umiejętności</w:t>
      </w:r>
      <w:r w:rsidRPr="000E6AFF">
        <w:rPr>
          <w:rFonts w:ascii="EC Square Sans Pro" w:hAnsi="EC Square Sans Pro"/>
          <w:sz w:val="22"/>
          <w:szCs w:val="22"/>
        </w:rPr>
        <w:t xml:space="preserve"> zainicjowany przez Komisję Europejską, który ma zmobilizować partnerów prywatnych i publicznych do podjęcia wspólnych wysiłków na rzecz wysokiej jakości inwestycji w umiejętności dla wszystkich osób w wieku produkcyjnym w całej Unii, </w:t>
      </w:r>
      <w:r w:rsidRPr="000E6AFF">
        <w:rPr>
          <w:rFonts w:ascii="EC Square Sans Pro" w:hAnsi="EC Square Sans Pro"/>
          <w:b/>
          <w:sz w:val="22"/>
          <w:szCs w:val="22"/>
        </w:rPr>
        <w:t>i zobowiązujemy się do poszanowania i przestrzegania kluczowych zasad, do których należą</w:t>
      </w:r>
      <w:r w:rsidRPr="000E6AFF">
        <w:rPr>
          <w:rFonts w:ascii="EC Square Sans Pro" w:hAnsi="EC Square Sans Pro"/>
          <w:sz w:val="22"/>
          <w:szCs w:val="22"/>
        </w:rPr>
        <w:t>:</w:t>
      </w:r>
    </w:p>
    <w:p w14:paraId="66FFD0CB" w14:textId="5CBC9E99" w:rsidR="00610108" w:rsidRPr="000E6AFF" w:rsidRDefault="00610108" w:rsidP="00AB28CC">
      <w:pPr>
        <w:pStyle w:val="Text1"/>
        <w:numPr>
          <w:ilvl w:val="0"/>
          <w:numId w:val="2"/>
        </w:numPr>
        <w:spacing w:before="120" w:after="0" w:line="276" w:lineRule="auto"/>
        <w:rPr>
          <w:rFonts w:ascii="EC Square Sans Pro" w:hAnsi="EC Square Sans Pro"/>
          <w:sz w:val="22"/>
          <w:szCs w:val="22"/>
        </w:rPr>
      </w:pPr>
      <w:proofErr w:type="gramStart"/>
      <w:r w:rsidRPr="000E6AFF">
        <w:rPr>
          <w:rFonts w:ascii="EC Square Sans Pro" w:hAnsi="EC Square Sans Pro"/>
          <w:b/>
          <w:bCs/>
          <w:sz w:val="22"/>
          <w:szCs w:val="22"/>
        </w:rPr>
        <w:t>propagowanie</w:t>
      </w:r>
      <w:proofErr w:type="gramEnd"/>
      <w:r w:rsidRPr="000E6AFF">
        <w:rPr>
          <w:rFonts w:ascii="EC Square Sans Pro" w:hAnsi="EC Square Sans Pro"/>
          <w:b/>
          <w:bCs/>
          <w:sz w:val="22"/>
          <w:szCs w:val="22"/>
        </w:rPr>
        <w:t xml:space="preserve"> kultury uczenia się przez całe życie dla wszystkich,</w:t>
      </w:r>
    </w:p>
    <w:p w14:paraId="5DC1E812" w14:textId="5C85E62B" w:rsidR="00610108" w:rsidRPr="000E6AFF" w:rsidRDefault="00610108" w:rsidP="00AB28CC">
      <w:pPr>
        <w:pStyle w:val="Text1"/>
        <w:numPr>
          <w:ilvl w:val="0"/>
          <w:numId w:val="2"/>
        </w:numPr>
        <w:spacing w:before="120" w:after="0" w:line="276" w:lineRule="auto"/>
        <w:jc w:val="left"/>
        <w:rPr>
          <w:rFonts w:ascii="EC Square Sans Pro" w:hAnsi="EC Square Sans Pro"/>
          <w:b/>
          <w:bCs/>
          <w:sz w:val="22"/>
          <w:szCs w:val="22"/>
        </w:rPr>
      </w:pPr>
      <w:proofErr w:type="gramStart"/>
      <w:r w:rsidRPr="000E6AFF">
        <w:rPr>
          <w:rFonts w:ascii="EC Square Sans Pro" w:hAnsi="EC Square Sans Pro"/>
          <w:b/>
          <w:bCs/>
          <w:sz w:val="22"/>
          <w:szCs w:val="22"/>
        </w:rPr>
        <w:t>tworzenie</w:t>
      </w:r>
      <w:proofErr w:type="gramEnd"/>
      <w:r w:rsidRPr="000E6AFF">
        <w:rPr>
          <w:rFonts w:ascii="EC Square Sans Pro" w:hAnsi="EC Square Sans Pro"/>
          <w:b/>
          <w:bCs/>
          <w:sz w:val="22"/>
          <w:szCs w:val="22"/>
        </w:rPr>
        <w:t xml:space="preserve"> silnych partnerstw na rzecz umiejętności,</w:t>
      </w:r>
    </w:p>
    <w:p w14:paraId="66BE6F53" w14:textId="6F97C186" w:rsidR="00610108" w:rsidRPr="000E6AFF" w:rsidRDefault="00610108" w:rsidP="00AB28CC">
      <w:pPr>
        <w:pStyle w:val="Text1"/>
        <w:numPr>
          <w:ilvl w:val="0"/>
          <w:numId w:val="2"/>
        </w:numPr>
        <w:spacing w:before="120" w:after="0" w:line="276" w:lineRule="auto"/>
        <w:jc w:val="left"/>
        <w:rPr>
          <w:rFonts w:ascii="EC Square Sans Pro" w:hAnsi="EC Square Sans Pro"/>
          <w:b/>
          <w:bCs/>
          <w:sz w:val="22"/>
          <w:szCs w:val="22"/>
        </w:rPr>
      </w:pPr>
      <w:proofErr w:type="gramStart"/>
      <w:r w:rsidRPr="000E6AFF">
        <w:rPr>
          <w:rFonts w:ascii="EC Square Sans Pro" w:hAnsi="EC Square Sans Pro"/>
          <w:b/>
          <w:bCs/>
          <w:sz w:val="22"/>
          <w:szCs w:val="22"/>
        </w:rPr>
        <w:t>monitorowanie</w:t>
      </w:r>
      <w:proofErr w:type="gramEnd"/>
      <w:r w:rsidRPr="000E6AFF">
        <w:rPr>
          <w:rFonts w:ascii="EC Square Sans Pro" w:hAnsi="EC Square Sans Pro"/>
          <w:b/>
          <w:bCs/>
          <w:sz w:val="22"/>
          <w:szCs w:val="22"/>
        </w:rPr>
        <w:t xml:space="preserve"> podaży umiejętności i zapotrzebowania na nie oraz przewidywanie potrzeb w zakresie umiejętności,</w:t>
      </w:r>
    </w:p>
    <w:p w14:paraId="53512182" w14:textId="72F0EC5A" w:rsidR="00610108" w:rsidRPr="000E6AFF" w:rsidRDefault="00610108" w:rsidP="00AB28CC">
      <w:pPr>
        <w:pStyle w:val="Text1"/>
        <w:numPr>
          <w:ilvl w:val="0"/>
          <w:numId w:val="2"/>
        </w:numPr>
        <w:spacing w:before="120" w:after="0" w:line="276" w:lineRule="auto"/>
        <w:jc w:val="left"/>
        <w:rPr>
          <w:rFonts w:ascii="EC Square Sans Pro" w:hAnsi="EC Square Sans Pro"/>
          <w:sz w:val="22"/>
          <w:szCs w:val="22"/>
        </w:rPr>
      </w:pPr>
      <w:proofErr w:type="gramStart"/>
      <w:r w:rsidRPr="000E6AFF">
        <w:rPr>
          <w:rFonts w:ascii="EC Square Sans Pro" w:hAnsi="EC Square Sans Pro"/>
          <w:b/>
          <w:bCs/>
          <w:sz w:val="22"/>
          <w:szCs w:val="22"/>
        </w:rPr>
        <w:t>działanie</w:t>
      </w:r>
      <w:proofErr w:type="gramEnd"/>
      <w:r w:rsidRPr="000E6AFF">
        <w:rPr>
          <w:rFonts w:ascii="EC Square Sans Pro" w:hAnsi="EC Square Sans Pro"/>
          <w:b/>
          <w:bCs/>
          <w:sz w:val="22"/>
          <w:szCs w:val="22"/>
        </w:rPr>
        <w:t xml:space="preserve"> na rzecz wyeliminowania dyskryminacji oraz promowania równouprawnienia płci i równości szans.</w:t>
      </w:r>
    </w:p>
    <w:p w14:paraId="27CEEABE" w14:textId="2013A847" w:rsidR="0080312A" w:rsidRPr="000E6AFF" w:rsidRDefault="0080312A" w:rsidP="0080312A">
      <w:pPr>
        <w:pStyle w:val="Text1"/>
        <w:spacing w:before="120" w:after="0" w:line="276" w:lineRule="auto"/>
        <w:ind w:left="0"/>
        <w:rPr>
          <w:rFonts w:ascii="EC Square Sans Pro" w:hAnsi="EC Square Sans Pro" w:cstheme="minorHAnsi"/>
          <w:sz w:val="22"/>
          <w:szCs w:val="22"/>
        </w:rPr>
      </w:pPr>
    </w:p>
    <w:p w14:paraId="2D2B741A" w14:textId="7711C7C8" w:rsidR="0059792B" w:rsidRPr="000E6AFF" w:rsidRDefault="0059792B" w:rsidP="0059792B">
      <w:pPr>
        <w:pStyle w:val="Text1"/>
        <w:spacing w:before="120" w:after="0" w:line="276" w:lineRule="auto"/>
        <w:ind w:left="0"/>
        <w:jc w:val="right"/>
        <w:rPr>
          <w:rFonts w:ascii="EC Square Sans Pro" w:hAnsi="EC Square Sans Pro" w:cstheme="minorHAnsi"/>
          <w:sz w:val="22"/>
          <w:szCs w:val="22"/>
        </w:rPr>
      </w:pPr>
      <w:r w:rsidRPr="000E6AFF">
        <w:rPr>
          <w:rFonts w:ascii="EC Square Sans Pro" w:hAnsi="EC Square Sans Pro"/>
          <w:sz w:val="22"/>
          <w:szCs w:val="22"/>
        </w:rPr>
        <w:lastRenderedPageBreak/>
        <w:t>Lista sygnatariuszy</w:t>
      </w:r>
    </w:p>
    <w:p w14:paraId="6445B9C6" w14:textId="77777777" w:rsidR="00DB3BD1" w:rsidRPr="000E6AFF" w:rsidRDefault="00DB3BD1">
      <w:pPr>
        <w:spacing w:before="0" w:after="0"/>
        <w:jc w:val="left"/>
        <w:rPr>
          <w:rFonts w:ascii="EC Square Sans Pro" w:hAnsi="EC Square Sans Pro" w:cstheme="minorHAnsi"/>
          <w:b/>
          <w:sz w:val="28"/>
          <w:szCs w:val="28"/>
        </w:rPr>
      </w:pPr>
      <w:r w:rsidRPr="000E6AFF">
        <w:br w:type="page"/>
      </w:r>
    </w:p>
    <w:p w14:paraId="54C3BA72" w14:textId="04392F2A" w:rsidR="0092105C" w:rsidRPr="000E6AFF" w:rsidRDefault="00DF26D8" w:rsidP="00610108">
      <w:pPr>
        <w:pStyle w:val="Text1"/>
        <w:spacing w:before="120" w:after="0" w:line="276" w:lineRule="auto"/>
        <w:ind w:left="0"/>
        <w:rPr>
          <w:rFonts w:ascii="EC Square Sans Pro" w:hAnsi="EC Square Sans Pro" w:cstheme="minorHAnsi"/>
          <w:b/>
          <w:sz w:val="28"/>
          <w:szCs w:val="28"/>
        </w:rPr>
      </w:pPr>
      <w:r w:rsidRPr="000E6AFF">
        <w:rPr>
          <w:rFonts w:ascii="EC Square Sans Pro" w:hAnsi="EC Square Sans Pro"/>
          <w:b/>
          <w:sz w:val="28"/>
          <w:szCs w:val="28"/>
        </w:rPr>
        <w:lastRenderedPageBreak/>
        <w:t>BUDOWANIE KONKRETNYCH ZOBOWIĄZAŃ</w:t>
      </w:r>
    </w:p>
    <w:p w14:paraId="17DC1260" w14:textId="7BD0DBF0" w:rsidR="00E31B0F" w:rsidRPr="000E6AFF" w:rsidRDefault="00E31B0F" w:rsidP="00610108">
      <w:pPr>
        <w:pStyle w:val="Text1"/>
        <w:spacing w:before="120" w:after="0" w:line="276" w:lineRule="auto"/>
        <w:ind w:left="0"/>
        <w:rPr>
          <w:rFonts w:ascii="EC Square Sans Pro" w:hAnsi="EC Square Sans Pro" w:cstheme="minorHAnsi"/>
          <w:sz w:val="22"/>
          <w:szCs w:val="22"/>
        </w:rPr>
      </w:pPr>
      <w:r w:rsidRPr="000E6AFF">
        <w:rPr>
          <w:rFonts w:ascii="EC Square Sans Pro" w:hAnsi="EC Square Sans Pro"/>
          <w:sz w:val="22"/>
          <w:szCs w:val="22"/>
        </w:rPr>
        <w:t xml:space="preserve">Oprócz poszanowania i przestrzegania kluczowych zasad sygnatariuszy paktu na rzecz umiejętności zachęca się do podejmowania konkretnych zobowiązań w zakresie realizacji działań na rzecz podnoszenia lub zmiany kwalifikacji, które pozwolą wprowadzić w życie kluczowe zasady paktu. Można tego dokonać na różne sposoby w zależności od kontekstu, ekosystemu przemysłowego i rodzaju zaangażowanych organizacji – pojedynczych przedsiębiorstw, innych organizacji lub partnerstw. </w:t>
      </w:r>
    </w:p>
    <w:p w14:paraId="217CB6CB" w14:textId="5CE8453F" w:rsidR="0092105C" w:rsidRPr="000E6AFF" w:rsidRDefault="00E31B0F" w:rsidP="00610108">
      <w:pPr>
        <w:pStyle w:val="Text1"/>
        <w:spacing w:before="120" w:after="0" w:line="276" w:lineRule="auto"/>
        <w:ind w:left="0"/>
        <w:rPr>
          <w:rFonts w:ascii="EC Square Sans Pro" w:hAnsi="EC Square Sans Pro" w:cstheme="minorHAnsi"/>
          <w:sz w:val="22"/>
          <w:szCs w:val="22"/>
        </w:rPr>
      </w:pPr>
      <w:r w:rsidRPr="000E6AFF">
        <w:rPr>
          <w:rFonts w:ascii="EC Square Sans Pro" w:hAnsi="EC Square Sans Pro"/>
          <w:sz w:val="22"/>
          <w:szCs w:val="22"/>
        </w:rPr>
        <w:t>Poniżej przedstawiono orientacyjną i niewyczerpującą listę działań wspierających, które mogą pomóc w opracowaniu konkretnych zobowiązań. Występując z propozycją zobowiązania – wraz z konkretnymi działaniami na rzecz podnoszenia i zmiany kwalifikacji – organizacje lub partnerstwa powinny wybrać odpowiednie działania wspierające oraz w stosownych przypadkach dostosować i zintegrować je tak, aby odpowiadały treści ich zobowiązania. Podmioty te powinny również wskazać co najmniej jeden kluczowy wskaźnik efektywności stosowany do monitorowania zobowiązania, jak np. liczba osób uczestniczących w działaniach na rzecz podnoszenia lub zmiany kwalifikacji.</w:t>
      </w:r>
    </w:p>
    <w:p w14:paraId="56EAC29A" w14:textId="35C9ECAA" w:rsidR="00A46659" w:rsidRPr="000E6AFF" w:rsidRDefault="00610108" w:rsidP="00610108">
      <w:pPr>
        <w:pStyle w:val="Text1"/>
        <w:spacing w:before="120" w:after="0" w:line="276" w:lineRule="auto"/>
        <w:ind w:left="0"/>
        <w:rPr>
          <w:rFonts w:ascii="EC Square Sans Pro" w:hAnsi="EC Square Sans Pro" w:cstheme="minorHAnsi"/>
          <w:b/>
          <w:sz w:val="22"/>
          <w:szCs w:val="22"/>
        </w:rPr>
      </w:pPr>
      <w:r w:rsidRPr="000E6AFF">
        <w:rPr>
          <w:rFonts w:ascii="EC Square Sans Pro" w:hAnsi="EC Square Sans Pro"/>
          <w:b/>
          <w:sz w:val="22"/>
          <w:szCs w:val="22"/>
        </w:rPr>
        <w:t>Propagowanie kultury uczenia się przez całe życie dla wszystkich</w:t>
      </w:r>
    </w:p>
    <w:p w14:paraId="746FAEF9" w14:textId="45F1129F" w:rsidR="00610108" w:rsidRPr="000E6AFF"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sidRPr="000E6AFF">
        <w:rPr>
          <w:rFonts w:ascii="EC Square Sans Pro" w:hAnsi="EC Square Sans Pro"/>
          <w:sz w:val="22"/>
          <w:szCs w:val="22"/>
        </w:rPr>
        <w:t xml:space="preserve">Organizacja promuje umiejętności swoich pracowników jako niezbędne dla jej skutecznego funkcjonowania. </w:t>
      </w:r>
    </w:p>
    <w:p w14:paraId="7B988AD8" w14:textId="555ED8A7" w:rsidR="00610108" w:rsidRPr="000E6AFF" w:rsidRDefault="00D156BA" w:rsidP="00AB28CC">
      <w:pPr>
        <w:pStyle w:val="Text1"/>
        <w:numPr>
          <w:ilvl w:val="0"/>
          <w:numId w:val="3"/>
        </w:numPr>
        <w:spacing w:before="120" w:after="0" w:line="276" w:lineRule="auto"/>
        <w:ind w:right="113"/>
        <w:rPr>
          <w:rFonts w:ascii="EC Square Sans Pro" w:hAnsi="EC Square Sans Pro" w:cstheme="minorHAnsi"/>
          <w:sz w:val="22"/>
          <w:szCs w:val="22"/>
        </w:rPr>
      </w:pPr>
      <w:r w:rsidRPr="000E6AFF">
        <w:rPr>
          <w:rFonts w:ascii="EC Square Sans Pro" w:hAnsi="EC Square Sans Pro"/>
          <w:sz w:val="22"/>
          <w:szCs w:val="22"/>
        </w:rPr>
        <w:t>Pracodawców i pracowników uświadamia się na temat wartości i korzyści płynących z podnoszenia i zmiany kwalifikacji, a także motywuje się ich do ciągłego poszerzania swojej wiedzy i doskonalenia umiejętności.</w:t>
      </w:r>
    </w:p>
    <w:p w14:paraId="26136FE4" w14:textId="0CE1D3FE" w:rsidR="00610108" w:rsidRPr="000E6AFF" w:rsidRDefault="00610108" w:rsidP="00AB28CC">
      <w:pPr>
        <w:pStyle w:val="Text1"/>
        <w:numPr>
          <w:ilvl w:val="0"/>
          <w:numId w:val="3"/>
        </w:numPr>
        <w:spacing w:before="120" w:after="0" w:line="276" w:lineRule="auto"/>
        <w:ind w:right="113"/>
        <w:rPr>
          <w:rFonts w:ascii="EC Square Sans Pro" w:hAnsi="EC Square Sans Pro" w:cstheme="minorHAnsi"/>
          <w:sz w:val="22"/>
          <w:szCs w:val="22"/>
        </w:rPr>
      </w:pPr>
      <w:r w:rsidRPr="000E6AFF">
        <w:rPr>
          <w:rFonts w:ascii="EC Square Sans Pro" w:hAnsi="EC Square Sans Pro"/>
          <w:sz w:val="22"/>
          <w:szCs w:val="22"/>
        </w:rPr>
        <w:t xml:space="preserve">Działanie opracowuje się z myślą o pracownikach i z ich udziałem, a wsparcie na rzecz jego realizacji zapewnia się na wszystkich szczeblach zarządzania. </w:t>
      </w:r>
    </w:p>
    <w:p w14:paraId="48002E22" w14:textId="1953C653" w:rsidR="000E1A31" w:rsidRPr="000E6AFF"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sidRPr="000E6AFF">
        <w:rPr>
          <w:rFonts w:ascii="EC Square Sans Pro" w:hAnsi="EC Square Sans Pro"/>
          <w:sz w:val="22"/>
          <w:szCs w:val="22"/>
        </w:rPr>
        <w:t>Zapewnia się dostęp do doradztwa i wsparcia w zakresie rozwoju kariery zawodowej.</w:t>
      </w:r>
    </w:p>
    <w:p w14:paraId="52B83533" w14:textId="2989E060" w:rsidR="00610108" w:rsidRPr="000E6AFF" w:rsidRDefault="007669A6" w:rsidP="00AB28CC">
      <w:pPr>
        <w:pStyle w:val="Text1"/>
        <w:numPr>
          <w:ilvl w:val="0"/>
          <w:numId w:val="3"/>
        </w:numPr>
        <w:spacing w:before="120" w:after="0" w:line="276" w:lineRule="auto"/>
        <w:ind w:right="113"/>
        <w:rPr>
          <w:rFonts w:ascii="EC Square Sans Pro" w:hAnsi="EC Square Sans Pro" w:cstheme="minorHAnsi"/>
          <w:sz w:val="22"/>
          <w:szCs w:val="22"/>
        </w:rPr>
      </w:pPr>
      <w:r w:rsidRPr="000E6AFF">
        <w:rPr>
          <w:rFonts w:ascii="EC Square Sans Pro" w:hAnsi="EC Square Sans Pro"/>
          <w:sz w:val="22"/>
          <w:szCs w:val="22"/>
        </w:rPr>
        <w:t>Wykorzystuje się odpowiednie środki finansowe.</w:t>
      </w:r>
    </w:p>
    <w:p w14:paraId="7FDDC847" w14:textId="7FFE5876" w:rsidR="00610108" w:rsidRPr="000E6AFF" w:rsidRDefault="006E34FF"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sidRPr="000E6AFF">
        <w:rPr>
          <w:rFonts w:ascii="EC Square Sans Pro" w:hAnsi="EC Square Sans Pro"/>
          <w:sz w:val="22"/>
          <w:szCs w:val="22"/>
        </w:rPr>
        <w:t xml:space="preserve">Działanie poddaje się regularnemu monitorowaniu i ocenie jakości. </w:t>
      </w:r>
    </w:p>
    <w:p w14:paraId="7A595B6D" w14:textId="16929381" w:rsidR="00610108" w:rsidRPr="000E6AFF" w:rsidRDefault="0022195C"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sidRPr="000E6AFF">
        <w:rPr>
          <w:rFonts w:ascii="EC Square Sans Pro" w:hAnsi="EC Square Sans Pro"/>
          <w:sz w:val="22"/>
          <w:szCs w:val="22"/>
        </w:rPr>
        <w:t>Szczególną uwagę zwraca się na podnoszenie i zmianę kwalifikacji grup defaworyzowanych, w tym pracowników w starszym wieku i osób dorosłych mających problemy z opanowaniem umiejętności podstawowych.</w:t>
      </w:r>
    </w:p>
    <w:p w14:paraId="09148CF1" w14:textId="4EEB302E" w:rsidR="00610108" w:rsidRPr="000E6AFF" w:rsidRDefault="006E34FF" w:rsidP="00AB28CC">
      <w:pPr>
        <w:pStyle w:val="Text1"/>
        <w:numPr>
          <w:ilvl w:val="0"/>
          <w:numId w:val="3"/>
        </w:numPr>
        <w:spacing w:before="120" w:after="0" w:line="276" w:lineRule="auto"/>
        <w:rPr>
          <w:rFonts w:ascii="EC Square Sans Pro" w:hAnsi="EC Square Sans Pro" w:cstheme="minorHAnsi"/>
          <w:sz w:val="22"/>
          <w:szCs w:val="22"/>
        </w:rPr>
      </w:pPr>
      <w:r w:rsidRPr="000E6AFF">
        <w:rPr>
          <w:rFonts w:ascii="EC Square Sans Pro" w:hAnsi="EC Square Sans Pro"/>
          <w:sz w:val="22"/>
          <w:szCs w:val="22"/>
        </w:rPr>
        <w:t>Kadra kierownicza i pracownicy otrzymują wsparcie w uczeniu się i pokonywaniu barier takich jak brak czasu, funduszy lub informacji o możliwościach w zakresie podnoszenia lub zmiany kwalifikacji.</w:t>
      </w:r>
    </w:p>
    <w:p w14:paraId="2025A884" w14:textId="591C1DE3" w:rsidR="00E44623" w:rsidRPr="000E6AFF" w:rsidRDefault="00E44623" w:rsidP="00AB28CC">
      <w:pPr>
        <w:pStyle w:val="Text1"/>
        <w:numPr>
          <w:ilvl w:val="0"/>
          <w:numId w:val="3"/>
        </w:numPr>
        <w:spacing w:before="120" w:after="0" w:line="276" w:lineRule="auto"/>
        <w:rPr>
          <w:rFonts w:ascii="EC Square Sans Pro" w:hAnsi="EC Square Sans Pro" w:cstheme="minorHAnsi"/>
          <w:sz w:val="22"/>
          <w:szCs w:val="22"/>
        </w:rPr>
      </w:pPr>
      <w:r w:rsidRPr="000E6AFF">
        <w:rPr>
          <w:rFonts w:ascii="EC Square Sans Pro" w:hAnsi="EC Square Sans Pro"/>
          <w:sz w:val="22"/>
          <w:szCs w:val="22"/>
        </w:rPr>
        <w:t>Istnieją finansowe i niefinansowe zachęty dla przedsiębiorstw do zapewniania pracodawcom i pracownikom możliwości w zakresie podnoszenia i zmiany kwalifikacji.</w:t>
      </w:r>
    </w:p>
    <w:p w14:paraId="0E1D140B" w14:textId="116877C0" w:rsidR="00E44623" w:rsidRPr="000E6AFF" w:rsidRDefault="00E44623" w:rsidP="00283AE0">
      <w:pPr>
        <w:pStyle w:val="Text1"/>
        <w:numPr>
          <w:ilvl w:val="0"/>
          <w:numId w:val="3"/>
        </w:numPr>
        <w:spacing w:before="120" w:after="0" w:line="276" w:lineRule="auto"/>
        <w:ind w:right="113"/>
        <w:rPr>
          <w:rFonts w:ascii="EC Square Sans Pro" w:hAnsi="EC Square Sans Pro" w:cstheme="minorHAnsi"/>
          <w:sz w:val="22"/>
          <w:szCs w:val="22"/>
        </w:rPr>
      </w:pPr>
      <w:r w:rsidRPr="000E6AFF">
        <w:rPr>
          <w:rFonts w:ascii="EC Square Sans Pro" w:hAnsi="EC Square Sans Pro"/>
          <w:sz w:val="22"/>
          <w:szCs w:val="22"/>
        </w:rPr>
        <w:t>Mikro-, małym lub średnim przedsiębiorstwom zapewnia się specjalne wsparcie (np. narzędzia, usługi i finansowanie) w celu stworzenia i utrzymania kultury uczenia się w organizacji – zarówno dla kadry kierowniczej, jak i pracowników.</w:t>
      </w:r>
    </w:p>
    <w:p w14:paraId="357F5E3E" w14:textId="48A81CB8" w:rsidR="00610108" w:rsidRPr="000E6AFF" w:rsidRDefault="00610108" w:rsidP="00610108">
      <w:pPr>
        <w:pStyle w:val="Text1"/>
        <w:spacing w:before="120" w:after="0" w:line="276" w:lineRule="auto"/>
        <w:ind w:left="0"/>
        <w:rPr>
          <w:rFonts w:ascii="EC Square Sans Pro" w:hAnsi="EC Square Sans Pro" w:cstheme="minorHAnsi"/>
          <w:sz w:val="22"/>
          <w:szCs w:val="22"/>
        </w:rPr>
      </w:pPr>
      <w:r w:rsidRPr="000E6AFF">
        <w:rPr>
          <w:rFonts w:ascii="EC Square Sans Pro" w:hAnsi="EC Square Sans Pro"/>
          <w:b/>
          <w:sz w:val="22"/>
          <w:szCs w:val="22"/>
        </w:rPr>
        <w:t xml:space="preserve">Tworzenie silnych partnerstw na rzecz umiejętności </w:t>
      </w:r>
    </w:p>
    <w:p w14:paraId="6FEB8D09" w14:textId="522BA2D1" w:rsidR="00610108" w:rsidRPr="000E6AFF" w:rsidRDefault="00E44623" w:rsidP="00AB28CC">
      <w:pPr>
        <w:pStyle w:val="Text1"/>
        <w:numPr>
          <w:ilvl w:val="0"/>
          <w:numId w:val="3"/>
        </w:numPr>
        <w:spacing w:before="120" w:after="0" w:line="276" w:lineRule="auto"/>
        <w:rPr>
          <w:rFonts w:ascii="EC Square Sans Pro" w:hAnsi="EC Square Sans Pro" w:cstheme="minorHAnsi"/>
          <w:sz w:val="22"/>
          <w:szCs w:val="22"/>
        </w:rPr>
      </w:pPr>
      <w:r w:rsidRPr="000E6AFF">
        <w:rPr>
          <w:rFonts w:ascii="EC Square Sans Pro" w:hAnsi="EC Square Sans Pro"/>
          <w:sz w:val="22"/>
          <w:szCs w:val="22"/>
        </w:rPr>
        <w:t xml:space="preserve">Wśród uczestników można wymienić wiele zainteresowanych stron, do których należą w szczególności partnerzy społeczni, organizatorzy szkoleń, organy publiczne, </w:t>
      </w:r>
      <w:r w:rsidRPr="000E6AFF">
        <w:rPr>
          <w:rFonts w:ascii="EC Square Sans Pro" w:hAnsi="EC Square Sans Pro"/>
          <w:sz w:val="22"/>
          <w:szCs w:val="22"/>
        </w:rPr>
        <w:lastRenderedPageBreak/>
        <w:t xml:space="preserve">naukowcy, publiczne lub prywatne służby zatrudnienia, izby handlowe i inne organy pośredniczące oraz organizacje sektorowe. </w:t>
      </w:r>
    </w:p>
    <w:p w14:paraId="3A8E8091" w14:textId="70390678" w:rsidR="00610108" w:rsidRPr="000E6AFF" w:rsidRDefault="00FA5FFC" w:rsidP="00AB28CC">
      <w:pPr>
        <w:pStyle w:val="Text1"/>
        <w:numPr>
          <w:ilvl w:val="0"/>
          <w:numId w:val="4"/>
        </w:numPr>
        <w:spacing w:before="120" w:after="0" w:line="276" w:lineRule="auto"/>
        <w:ind w:right="113"/>
        <w:rPr>
          <w:rFonts w:ascii="EC Square Sans Pro" w:hAnsi="EC Square Sans Pro" w:cstheme="minorHAnsi"/>
          <w:sz w:val="22"/>
          <w:szCs w:val="22"/>
        </w:rPr>
      </w:pPr>
      <w:r w:rsidRPr="000E6AFF">
        <w:rPr>
          <w:rFonts w:ascii="EC Square Sans Pro" w:hAnsi="EC Square Sans Pro"/>
          <w:sz w:val="22"/>
          <w:szCs w:val="22"/>
        </w:rPr>
        <w:t xml:space="preserve">Partnerstwo w ekosystemie przemysłowym jest otwarte dla wszystkich zainteresowanych stron w celu połączenia wiedzy eksperckiej i zasobów na rzecz konkretnych działań, które pozwolą ludziom utrzymać, zmienić i znaleźć nową pracę. </w:t>
      </w:r>
    </w:p>
    <w:p w14:paraId="56BA1EC8" w14:textId="06FE7D02" w:rsidR="004C3338" w:rsidRPr="000E6AFF" w:rsidRDefault="004C3338" w:rsidP="004C3338">
      <w:pPr>
        <w:pStyle w:val="Text1"/>
        <w:numPr>
          <w:ilvl w:val="0"/>
          <w:numId w:val="4"/>
        </w:numPr>
        <w:spacing w:before="120" w:after="0" w:line="276" w:lineRule="auto"/>
        <w:ind w:right="113"/>
        <w:rPr>
          <w:rFonts w:ascii="EC Square Sans Pro" w:hAnsi="EC Square Sans Pro" w:cstheme="minorHAnsi"/>
          <w:sz w:val="22"/>
          <w:szCs w:val="22"/>
        </w:rPr>
      </w:pPr>
      <w:r w:rsidRPr="000E6AFF">
        <w:rPr>
          <w:rFonts w:ascii="EC Square Sans Pro" w:hAnsi="EC Square Sans Pro"/>
          <w:sz w:val="22"/>
          <w:szCs w:val="22"/>
        </w:rPr>
        <w:t>Współpraca w ramach partnerstwa odbywa się na szczeblu europejskim, krajowym, regionalnym lub lokalnym, w zależności od potrzeby.</w:t>
      </w:r>
    </w:p>
    <w:p w14:paraId="07E6FC8B" w14:textId="2FA4354C" w:rsidR="00610108" w:rsidRPr="000E6AFF" w:rsidRDefault="00347462" w:rsidP="00AB28CC">
      <w:pPr>
        <w:pStyle w:val="Text1"/>
        <w:numPr>
          <w:ilvl w:val="0"/>
          <w:numId w:val="4"/>
        </w:numPr>
        <w:spacing w:before="120" w:after="0" w:line="276" w:lineRule="auto"/>
        <w:ind w:right="113"/>
        <w:rPr>
          <w:rFonts w:ascii="EC Square Sans Pro" w:hAnsi="EC Square Sans Pro" w:cstheme="minorHAnsi"/>
          <w:sz w:val="22"/>
          <w:szCs w:val="22"/>
        </w:rPr>
      </w:pPr>
      <w:r w:rsidRPr="000E6AFF">
        <w:rPr>
          <w:rFonts w:ascii="EC Square Sans Pro" w:hAnsi="EC Square Sans Pro"/>
          <w:sz w:val="22"/>
          <w:szCs w:val="22"/>
        </w:rPr>
        <w:t>Zapewnia się wsparcie na rzecz współpracy międzysektorowej między odpowiednimi partnerstwami w sektorach/ekosystemach przemysłowych.</w:t>
      </w:r>
    </w:p>
    <w:p w14:paraId="2EE0BF81" w14:textId="00A529FF" w:rsidR="00610108" w:rsidRPr="000E6AFF"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sidRPr="000E6AFF">
        <w:rPr>
          <w:rFonts w:ascii="EC Square Sans Pro" w:hAnsi="EC Square Sans Pro"/>
          <w:sz w:val="22"/>
          <w:szCs w:val="22"/>
        </w:rPr>
        <w:t>Gwarantuje się wspólną odpowiedzialność i aktywną rolę każdego z partnerów.</w:t>
      </w:r>
    </w:p>
    <w:p w14:paraId="0D9D7987" w14:textId="5B48DE9F" w:rsidR="000E1A31" w:rsidRPr="000E6AFF" w:rsidRDefault="006E34FF" w:rsidP="00AB28CC">
      <w:pPr>
        <w:pStyle w:val="Text1"/>
        <w:numPr>
          <w:ilvl w:val="0"/>
          <w:numId w:val="4"/>
        </w:numPr>
        <w:spacing w:before="120" w:after="0" w:line="276" w:lineRule="auto"/>
        <w:ind w:right="113"/>
        <w:rPr>
          <w:rFonts w:ascii="EC Square Sans Pro" w:hAnsi="EC Square Sans Pro" w:cstheme="minorHAnsi"/>
          <w:sz w:val="22"/>
          <w:szCs w:val="22"/>
        </w:rPr>
      </w:pPr>
      <w:r w:rsidRPr="000E6AFF">
        <w:rPr>
          <w:rFonts w:ascii="EC Square Sans Pro" w:hAnsi="EC Square Sans Pro"/>
          <w:sz w:val="22"/>
          <w:szCs w:val="22"/>
        </w:rPr>
        <w:t xml:space="preserve">Członkowie partnerstwa prowadzą otwarty dialog, a także dzielą się i wymieniają wiedzą w celu zapewnienia wysokiej jakości oferty szkoleniowej, w tym w zakresie poziomu kwalifikacji nauczycieli/instruktorów i jakości programów szkoleniowych. </w:t>
      </w:r>
    </w:p>
    <w:p w14:paraId="7F1F814A" w14:textId="057A3E7B" w:rsidR="00610108" w:rsidRPr="000E6AFF"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sidRPr="000E6AFF">
        <w:rPr>
          <w:rFonts w:ascii="EC Square Sans Pro" w:hAnsi="EC Square Sans Pro"/>
          <w:sz w:val="22"/>
          <w:szCs w:val="22"/>
        </w:rPr>
        <w:t>Partnerstwo opiera swoje działania na sprawdzonych narzędziach, ale opracowuje także innowacyjne rozwiązania.</w:t>
      </w:r>
    </w:p>
    <w:p w14:paraId="4FEABA9A" w14:textId="39716BD0" w:rsidR="00610108" w:rsidRPr="000E6AFF" w:rsidRDefault="00610108" w:rsidP="00610108">
      <w:pPr>
        <w:pStyle w:val="Text1"/>
        <w:spacing w:before="120" w:after="0" w:line="276" w:lineRule="auto"/>
        <w:ind w:left="0"/>
        <w:rPr>
          <w:rFonts w:ascii="EC Square Sans Pro" w:hAnsi="EC Square Sans Pro" w:cstheme="minorHAnsi"/>
          <w:b/>
          <w:sz w:val="22"/>
          <w:szCs w:val="22"/>
        </w:rPr>
      </w:pPr>
      <w:r w:rsidRPr="000E6AFF">
        <w:rPr>
          <w:rFonts w:ascii="EC Square Sans Pro" w:hAnsi="EC Square Sans Pro"/>
          <w:b/>
          <w:sz w:val="22"/>
          <w:szCs w:val="22"/>
        </w:rPr>
        <w:t>Monitorowanie podaży umiejętności i zapotrzebowania na nie oraz przewidywanie potrzeb w zakresie umiejętności</w:t>
      </w:r>
    </w:p>
    <w:p w14:paraId="2CE160BB" w14:textId="77777777" w:rsidR="00610108" w:rsidRPr="000E6AFF"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sidRPr="000E6AFF">
        <w:rPr>
          <w:rFonts w:ascii="EC Square Sans Pro" w:hAnsi="EC Square Sans Pro"/>
          <w:sz w:val="22"/>
          <w:szCs w:val="22"/>
        </w:rPr>
        <w:t xml:space="preserve">Regularnie monitoruje się zapotrzebowanie na umiejętności i podaż umiejętności (związanych z pracą i przekrojowych), a potrzeby w tym zakresie jasno komunikuje się poszczególnym osobom. </w:t>
      </w:r>
    </w:p>
    <w:p w14:paraId="580B7F3C" w14:textId="77777777" w:rsidR="003B6302" w:rsidRPr="000E6AFF"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sidRPr="000E6AFF">
        <w:rPr>
          <w:rFonts w:ascii="EC Square Sans Pro" w:hAnsi="EC Square Sans Pro"/>
          <w:sz w:val="22"/>
          <w:szCs w:val="22"/>
        </w:rPr>
        <w:t xml:space="preserve">Przewidywanie potrzeb w zakresie umiejętności uwzględnia potrzebę wsparcia transformacji cyfrowej i ekologicznej oraz konsekwencje zmian demograficznych. </w:t>
      </w:r>
    </w:p>
    <w:p w14:paraId="5D48B295" w14:textId="702FE981" w:rsidR="00610108" w:rsidRPr="000E6AFF" w:rsidRDefault="003B6302" w:rsidP="00AB28CC">
      <w:pPr>
        <w:pStyle w:val="Text1"/>
        <w:numPr>
          <w:ilvl w:val="0"/>
          <w:numId w:val="5"/>
        </w:numPr>
        <w:spacing w:before="120" w:after="0" w:line="276" w:lineRule="auto"/>
        <w:ind w:right="113"/>
        <w:rPr>
          <w:rFonts w:ascii="EC Square Sans Pro" w:hAnsi="EC Square Sans Pro" w:cstheme="minorHAnsi"/>
          <w:sz w:val="22"/>
          <w:szCs w:val="22"/>
        </w:rPr>
      </w:pPr>
      <w:r w:rsidRPr="000E6AFF">
        <w:rPr>
          <w:rFonts w:ascii="EC Square Sans Pro" w:hAnsi="EC Square Sans Pro"/>
          <w:sz w:val="22"/>
          <w:szCs w:val="22"/>
        </w:rPr>
        <w:t>Przy monitorowaniu zapotrzebowania na umiejętności i ich podaży uwzględnia się potrzeby w zakresie umiejętności dotyczące siły roboczej i przedsiębiorstw na poziomie regionalnym, krajowym i europejskim.</w:t>
      </w:r>
    </w:p>
    <w:p w14:paraId="12C1E9BC" w14:textId="77777777" w:rsidR="004C3338" w:rsidRPr="000E6AFF" w:rsidRDefault="00610108" w:rsidP="004C3338">
      <w:pPr>
        <w:pStyle w:val="Text1"/>
        <w:numPr>
          <w:ilvl w:val="0"/>
          <w:numId w:val="5"/>
        </w:numPr>
        <w:spacing w:before="120" w:after="0" w:line="276" w:lineRule="auto"/>
        <w:ind w:right="113"/>
        <w:rPr>
          <w:rFonts w:ascii="EC Square Sans Pro" w:hAnsi="EC Square Sans Pro" w:cstheme="minorHAnsi"/>
          <w:sz w:val="22"/>
          <w:szCs w:val="22"/>
        </w:rPr>
      </w:pPr>
      <w:r w:rsidRPr="000E6AFF">
        <w:rPr>
          <w:rFonts w:ascii="EC Square Sans Pro" w:hAnsi="EC Square Sans Pro"/>
          <w:sz w:val="22"/>
          <w:szCs w:val="22"/>
        </w:rPr>
        <w:t>Przewidywanie potrzeb w zakresie umiejętności uwzględnia szybkie zmiany na rynku pracy i dostarcza istotnych i aktualnych informacji na temat potrzeb w zakresie umiejętności.</w:t>
      </w:r>
      <w:r w:rsidRPr="000E6AFF">
        <w:t xml:space="preserve"> </w:t>
      </w:r>
    </w:p>
    <w:p w14:paraId="48F7F75D" w14:textId="2DE9C724" w:rsidR="00610108" w:rsidRPr="000E6AFF" w:rsidRDefault="004C3338" w:rsidP="004C3338">
      <w:pPr>
        <w:pStyle w:val="Text1"/>
        <w:numPr>
          <w:ilvl w:val="0"/>
          <w:numId w:val="5"/>
        </w:numPr>
        <w:spacing w:before="120" w:after="0" w:line="276" w:lineRule="auto"/>
        <w:ind w:right="113"/>
        <w:rPr>
          <w:rFonts w:ascii="EC Square Sans Pro" w:hAnsi="EC Square Sans Pro" w:cstheme="minorHAnsi"/>
          <w:sz w:val="22"/>
          <w:szCs w:val="22"/>
        </w:rPr>
      </w:pPr>
      <w:r w:rsidRPr="000E6AFF">
        <w:rPr>
          <w:rFonts w:ascii="EC Square Sans Pro" w:hAnsi="EC Square Sans Pro"/>
          <w:sz w:val="22"/>
          <w:szCs w:val="22"/>
        </w:rPr>
        <w:t>Przewidywanie potrzeb w zakresie umiejętności uwzględnia zmiany na poziomie regionalnym, krajowym i europejskim.</w:t>
      </w:r>
    </w:p>
    <w:p w14:paraId="6BD98093" w14:textId="791DEDA0" w:rsidR="00610108" w:rsidRPr="000E6AFF" w:rsidRDefault="001130DA" w:rsidP="00AB28CC">
      <w:pPr>
        <w:pStyle w:val="Text1"/>
        <w:numPr>
          <w:ilvl w:val="0"/>
          <w:numId w:val="5"/>
        </w:numPr>
        <w:spacing w:before="120" w:after="0" w:line="276" w:lineRule="auto"/>
        <w:ind w:right="113"/>
        <w:rPr>
          <w:rFonts w:ascii="EC Square Sans Pro" w:hAnsi="EC Square Sans Pro" w:cstheme="minorHAnsi"/>
          <w:sz w:val="22"/>
          <w:szCs w:val="22"/>
        </w:rPr>
      </w:pPr>
      <w:r w:rsidRPr="000E6AFF">
        <w:rPr>
          <w:rFonts w:ascii="EC Square Sans Pro" w:hAnsi="EC Square Sans Pro"/>
          <w:sz w:val="22"/>
          <w:szCs w:val="22"/>
        </w:rPr>
        <w:t>Mechanizm monitorowania obejmuje nie tylko potrzeby w zakresie umiejętności związanych z pracą, ale także potrzeby w zakresie umiejętności przekrojowych i podstawowych.</w:t>
      </w:r>
    </w:p>
    <w:p w14:paraId="4F41DDA8" w14:textId="0C320565" w:rsidR="00610108" w:rsidRPr="000E6AFF" w:rsidRDefault="001130DA" w:rsidP="00AB28CC">
      <w:pPr>
        <w:pStyle w:val="Text1"/>
        <w:numPr>
          <w:ilvl w:val="0"/>
          <w:numId w:val="5"/>
        </w:numPr>
        <w:spacing w:before="120" w:after="0" w:line="276" w:lineRule="auto"/>
        <w:rPr>
          <w:rFonts w:ascii="EC Square Sans Pro" w:hAnsi="EC Square Sans Pro" w:cstheme="minorHAnsi"/>
          <w:sz w:val="22"/>
          <w:szCs w:val="22"/>
        </w:rPr>
      </w:pPr>
      <w:r w:rsidRPr="000E6AFF">
        <w:rPr>
          <w:rFonts w:ascii="EC Square Sans Pro" w:hAnsi="EC Square Sans Pro"/>
          <w:sz w:val="22"/>
          <w:szCs w:val="22"/>
        </w:rPr>
        <w:t>Działanie to opiera się na zidentyfikowanych potrzebach w zakresie umiejętności – zarówno umiejętności związanych z pracą, jak i umiejętności miękkich.</w:t>
      </w:r>
    </w:p>
    <w:p w14:paraId="7254DFFF" w14:textId="33F6C60D" w:rsidR="00610108" w:rsidRPr="000E6AFF" w:rsidRDefault="00610108" w:rsidP="00610108">
      <w:pPr>
        <w:pStyle w:val="Text1"/>
        <w:spacing w:before="120" w:after="0" w:line="276" w:lineRule="auto"/>
        <w:ind w:left="0"/>
        <w:rPr>
          <w:rFonts w:ascii="EC Square Sans Pro" w:hAnsi="EC Square Sans Pro" w:cstheme="minorHAnsi"/>
          <w:b/>
          <w:sz w:val="22"/>
          <w:szCs w:val="22"/>
        </w:rPr>
      </w:pPr>
      <w:r w:rsidRPr="000E6AFF">
        <w:rPr>
          <w:rFonts w:ascii="EC Square Sans Pro" w:hAnsi="EC Square Sans Pro"/>
          <w:b/>
          <w:sz w:val="22"/>
          <w:szCs w:val="22"/>
        </w:rPr>
        <w:t>Działanie na rzecz wyeliminowania dyskryminacji oraz promowania równouprawnienia płci i równości szans</w:t>
      </w:r>
    </w:p>
    <w:p w14:paraId="6D6DA112" w14:textId="087FAF3C" w:rsidR="002F22E0" w:rsidRPr="000E6AFF" w:rsidRDefault="001130DA" w:rsidP="002F22E0">
      <w:pPr>
        <w:pStyle w:val="Text1"/>
        <w:numPr>
          <w:ilvl w:val="0"/>
          <w:numId w:val="6"/>
        </w:numPr>
        <w:spacing w:before="120" w:after="0" w:line="276" w:lineRule="auto"/>
        <w:ind w:right="113"/>
        <w:rPr>
          <w:rFonts w:ascii="EC Square Sans Pro" w:hAnsi="EC Square Sans Pro" w:cstheme="minorHAnsi"/>
          <w:sz w:val="22"/>
          <w:szCs w:val="22"/>
        </w:rPr>
      </w:pPr>
      <w:r w:rsidRPr="000E6AFF">
        <w:rPr>
          <w:rFonts w:ascii="EC Square Sans Pro" w:hAnsi="EC Square Sans Pro"/>
          <w:sz w:val="22"/>
          <w:szCs w:val="22"/>
        </w:rPr>
        <w:t>W ramach działania aktywnie promuje się równość szans – niezależnie od płci, pochodzenia rasowego lub etnicznego, przekonań religijnych lub wyznania, niepełnosprawności, wieku lub orientacji seksualnej.</w:t>
      </w:r>
    </w:p>
    <w:p w14:paraId="56139681" w14:textId="559C82C7" w:rsidR="00610108" w:rsidRPr="000E6AFF" w:rsidRDefault="00774040" w:rsidP="00774040">
      <w:pPr>
        <w:pStyle w:val="Text1"/>
        <w:numPr>
          <w:ilvl w:val="0"/>
          <w:numId w:val="6"/>
        </w:numPr>
        <w:spacing w:before="120" w:after="0" w:line="276" w:lineRule="auto"/>
        <w:ind w:right="113"/>
        <w:rPr>
          <w:rFonts w:ascii="EC Square Sans Pro" w:hAnsi="EC Square Sans Pro" w:cstheme="minorHAnsi"/>
          <w:sz w:val="22"/>
          <w:szCs w:val="22"/>
        </w:rPr>
      </w:pPr>
      <w:r w:rsidRPr="000E6AFF">
        <w:rPr>
          <w:rFonts w:ascii="EC Square Sans Pro" w:hAnsi="EC Square Sans Pro"/>
          <w:sz w:val="22"/>
          <w:szCs w:val="22"/>
        </w:rPr>
        <w:lastRenderedPageBreak/>
        <w:t>Działanie zapewnia dostęp do wysokiej jakości możliwości podnoszenia/zmiany kwalifikacji wszystkim osobom w populacji docelowej, niezależnie od płci, pochodzenia rasowego lub etnicznego, religii lub przekonań, niepełnosprawności, wieku</w:t>
      </w:r>
      <w:r w:rsidRPr="000E6AFF">
        <w:rPr>
          <w:rStyle w:val="FootnoteReference"/>
          <w:rFonts w:ascii="EC Square Sans Pro" w:hAnsi="EC Square Sans Pro" w:cstheme="minorHAnsi"/>
          <w:sz w:val="22"/>
          <w:szCs w:val="22"/>
        </w:rPr>
        <w:footnoteReference w:id="3"/>
      </w:r>
      <w:r w:rsidRPr="000E6AFF">
        <w:rPr>
          <w:rFonts w:ascii="EC Square Sans Pro" w:hAnsi="EC Square Sans Pro"/>
          <w:sz w:val="22"/>
          <w:szCs w:val="22"/>
        </w:rPr>
        <w:t xml:space="preserve"> lub orientacji seksualnej. </w:t>
      </w:r>
    </w:p>
    <w:p w14:paraId="4881B9BD" w14:textId="7DD69CD0" w:rsidR="00610108" w:rsidRPr="000E6AFF" w:rsidRDefault="00774040" w:rsidP="00AB28CC">
      <w:pPr>
        <w:pStyle w:val="Text1"/>
        <w:numPr>
          <w:ilvl w:val="0"/>
          <w:numId w:val="6"/>
        </w:numPr>
        <w:spacing w:before="120" w:after="0" w:line="276" w:lineRule="auto"/>
        <w:ind w:right="113"/>
        <w:rPr>
          <w:rFonts w:ascii="EC Square Sans Pro" w:hAnsi="EC Square Sans Pro" w:cstheme="minorHAnsi"/>
          <w:sz w:val="22"/>
          <w:szCs w:val="22"/>
        </w:rPr>
      </w:pPr>
      <w:r w:rsidRPr="000E6AFF">
        <w:rPr>
          <w:rFonts w:ascii="EC Square Sans Pro" w:hAnsi="EC Square Sans Pro"/>
          <w:sz w:val="22"/>
          <w:szCs w:val="22"/>
        </w:rPr>
        <w:t>Elementami działania są walidacja i uznawanie nabytych umiejętności (w tym przez mikrokwalifikacje).</w:t>
      </w:r>
    </w:p>
    <w:p w14:paraId="524E032D" w14:textId="5CAB99B1" w:rsidR="00610108" w:rsidRPr="000E6AFF" w:rsidRDefault="00610108" w:rsidP="00AB28CC">
      <w:pPr>
        <w:pStyle w:val="Text1"/>
        <w:numPr>
          <w:ilvl w:val="0"/>
          <w:numId w:val="7"/>
        </w:numPr>
        <w:spacing w:before="120" w:after="0" w:line="276" w:lineRule="auto"/>
        <w:ind w:right="113"/>
        <w:rPr>
          <w:rFonts w:ascii="EC Square Sans Pro" w:hAnsi="EC Square Sans Pro" w:cstheme="minorHAnsi"/>
          <w:sz w:val="22"/>
          <w:szCs w:val="22"/>
        </w:rPr>
      </w:pPr>
      <w:r w:rsidRPr="000E6AFF">
        <w:rPr>
          <w:rFonts w:ascii="EC Square Sans Pro" w:hAnsi="EC Square Sans Pro"/>
          <w:sz w:val="22"/>
          <w:szCs w:val="22"/>
        </w:rPr>
        <w:t>Uwzględnia się potrzeby i możliwości poszczególnych osób, w tym ich potrzeby osobiste i zawodowe (np. zmiana zawodu w przypadku osób w wieku średnim).</w:t>
      </w:r>
    </w:p>
    <w:p w14:paraId="2B2F0D54" w14:textId="615E20AE" w:rsidR="00E35952" w:rsidRPr="000E6AFF" w:rsidRDefault="006E34FF" w:rsidP="004D0D31">
      <w:pPr>
        <w:pStyle w:val="Text1"/>
        <w:numPr>
          <w:ilvl w:val="0"/>
          <w:numId w:val="7"/>
        </w:numPr>
        <w:spacing w:after="0" w:line="276" w:lineRule="auto"/>
        <w:ind w:right="113"/>
        <w:jc w:val="left"/>
        <w:rPr>
          <w:rFonts w:ascii="EC Square Sans Pro" w:hAnsi="EC Square Sans Pro" w:cstheme="minorHAnsi"/>
          <w:sz w:val="22"/>
          <w:szCs w:val="22"/>
        </w:rPr>
      </w:pPr>
      <w:r w:rsidRPr="000E6AFF">
        <w:rPr>
          <w:rFonts w:ascii="EC Square Sans Pro" w:hAnsi="EC Square Sans Pro"/>
          <w:sz w:val="22"/>
          <w:szCs w:val="22"/>
        </w:rPr>
        <w:t xml:space="preserve">Działanie jest elastyczne, opiera się na systemie modułowym i w miarę możliwości realizuje się je za pomocą narzędzi (w tym narzędzi cyfrowych) zapewniających dostęp do nauki wszystkim osobom w wieku produkcyjnym. </w:t>
      </w:r>
    </w:p>
    <w:sectPr w:rsidR="00E35952" w:rsidRPr="000E6AFF" w:rsidSect="00AB28CC">
      <w:headerReference w:type="even" r:id="rId8"/>
      <w:headerReference w:type="default" r:id="rId9"/>
      <w:footerReference w:type="even" r:id="rId10"/>
      <w:footerReference w:type="default" r:id="rId11"/>
      <w:headerReference w:type="first" r:id="rId12"/>
      <w:footerReference w:type="first" r:id="rId13"/>
      <w:pgSz w:w="11906" w:h="16838"/>
      <w:pgMar w:top="117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4F47C" w14:textId="77777777" w:rsidR="00432AD9" w:rsidRPr="000E6AFF" w:rsidRDefault="00432AD9" w:rsidP="008151F7">
      <w:pPr>
        <w:spacing w:before="0" w:after="0"/>
      </w:pPr>
      <w:r w:rsidRPr="000E6AFF">
        <w:separator/>
      </w:r>
    </w:p>
  </w:endnote>
  <w:endnote w:type="continuationSeparator" w:id="0">
    <w:p w14:paraId="74EFB546" w14:textId="77777777" w:rsidR="00432AD9" w:rsidRPr="000E6AFF" w:rsidRDefault="00432AD9" w:rsidP="008151F7">
      <w:pPr>
        <w:spacing w:before="0" w:after="0"/>
      </w:pPr>
      <w:r w:rsidRPr="000E6AFF">
        <w:continuationSeparator/>
      </w:r>
    </w:p>
  </w:endnote>
  <w:endnote w:type="continuationNotice" w:id="1">
    <w:p w14:paraId="403A5F65" w14:textId="77777777" w:rsidR="00432AD9" w:rsidRPr="000E6AFF" w:rsidRDefault="00432A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 Square Sans Pro">
    <w:altName w:val="Bahnschrift Light"/>
    <w:panose1 w:val="020B0506040000020004"/>
    <w:charset w:val="00"/>
    <w:family w:val="swiss"/>
    <w:pitch w:val="variable"/>
    <w:sig w:usb0="A00002B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1502E" w14:textId="77777777" w:rsidR="001C4D40" w:rsidRPr="000E6AFF" w:rsidRDefault="001C4D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0BD0F" w14:textId="77777777" w:rsidR="00C15301" w:rsidRPr="000E6AFF" w:rsidRDefault="00C15301" w:rsidP="001C4D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1E2A9" w14:textId="77777777" w:rsidR="001C4D40" w:rsidRPr="000E6AFF" w:rsidRDefault="001C4D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2BB2B" w14:textId="77777777" w:rsidR="00432AD9" w:rsidRPr="000E6AFF" w:rsidRDefault="00432AD9" w:rsidP="008151F7">
      <w:pPr>
        <w:spacing w:before="0" w:after="0"/>
      </w:pPr>
      <w:r w:rsidRPr="000E6AFF">
        <w:separator/>
      </w:r>
    </w:p>
  </w:footnote>
  <w:footnote w:type="continuationSeparator" w:id="0">
    <w:p w14:paraId="1A652DF5" w14:textId="77777777" w:rsidR="00432AD9" w:rsidRPr="000E6AFF" w:rsidRDefault="00432AD9" w:rsidP="008151F7">
      <w:pPr>
        <w:spacing w:before="0" w:after="0"/>
      </w:pPr>
      <w:r w:rsidRPr="000E6AFF">
        <w:continuationSeparator/>
      </w:r>
    </w:p>
  </w:footnote>
  <w:footnote w:type="continuationNotice" w:id="1">
    <w:p w14:paraId="54DEE4A9" w14:textId="77777777" w:rsidR="00432AD9" w:rsidRPr="000E6AFF" w:rsidRDefault="00432AD9">
      <w:pPr>
        <w:spacing w:before="0" w:after="0"/>
      </w:pPr>
    </w:p>
  </w:footnote>
  <w:footnote w:id="2">
    <w:p w14:paraId="6C35FB22" w14:textId="77777777" w:rsidR="000D72F3" w:rsidRPr="000E6AFF" w:rsidRDefault="000D72F3" w:rsidP="000D72F3">
      <w:pPr>
        <w:pStyle w:val="FootnoteText"/>
      </w:pPr>
      <w:r w:rsidRPr="000E6AFF">
        <w:rPr>
          <w:rStyle w:val="FootnoteReference"/>
        </w:rPr>
        <w:footnoteRef/>
      </w:r>
      <w:r w:rsidRPr="000E6AFF">
        <w:t xml:space="preserve"> </w:t>
      </w:r>
      <w:r w:rsidRPr="000E6AFF">
        <w:tab/>
        <w:t>Takie jak Europejski Fundusz Społeczny Plus, REACT-EU, Fundusz na rzecz Sprawiedliwej Transformacji, Erasmus+, „Horyzont Europa”, program „Cyfrowa Europa”, Europejski Fundusz Rozwoju Regionalnego, InvestEU i fundusz modernizacyjny.</w:t>
      </w:r>
    </w:p>
  </w:footnote>
  <w:footnote w:id="3">
    <w:p w14:paraId="0A32517E" w14:textId="16C3F6B3" w:rsidR="00774040" w:rsidRPr="000E6AFF" w:rsidRDefault="00774040">
      <w:pPr>
        <w:pStyle w:val="FootnoteText"/>
      </w:pPr>
      <w:r w:rsidRPr="000E6AFF">
        <w:rPr>
          <w:rStyle w:val="FootnoteReference"/>
        </w:rPr>
        <w:footnoteRef/>
      </w:r>
      <w:r w:rsidRPr="000E6AFF">
        <w:t xml:space="preserve"> </w:t>
      </w:r>
      <w:r w:rsidRPr="000E6AFF">
        <w:tab/>
        <w:t>O ile nie jest to uzasadnione charakterem działania, np. w przypadku inicjatyw w zakresie podnoszenia i zmiany kwalifikacji skierowanych do pracowników w starszym wieku lub młodszych osób zatrudnionych.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481E6" w14:textId="271A661A" w:rsidR="001C4D40" w:rsidRPr="000E6AFF" w:rsidRDefault="001C4D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DA742" w14:textId="3ACBC93D" w:rsidR="001C4D40" w:rsidRPr="000E6AFF" w:rsidRDefault="001C4D40" w:rsidP="009261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5FAAB" w14:textId="48F2D677" w:rsidR="001C4D40" w:rsidRPr="000E6AFF" w:rsidRDefault="001C4D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A77DD"/>
    <w:multiLevelType w:val="hybridMultilevel"/>
    <w:tmpl w:val="4742012A"/>
    <w:lvl w:ilvl="0" w:tplc="EC5E95C0">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996626"/>
    <w:multiLevelType w:val="hybridMultilevel"/>
    <w:tmpl w:val="167E1E8A"/>
    <w:lvl w:ilvl="0" w:tplc="1F961EDC">
      <w:start w:val="1"/>
      <w:numFmt w:val="bullet"/>
      <w:pStyle w:val="Briefinglist1"/>
      <w:lvlText w:val=""/>
      <w:lvlJc w:val="left"/>
      <w:pPr>
        <w:tabs>
          <w:tab w:val="num" w:pos="284"/>
        </w:tabs>
        <w:ind w:left="284" w:hanging="284"/>
      </w:pPr>
      <w:rPr>
        <w:rFonts w:ascii="Symbol" w:hAnsi="Symbol" w:hint="default"/>
        <w:b w:val="0"/>
        <w:i w:val="0"/>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4B4886"/>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AEF05B4"/>
    <w:multiLevelType w:val="hybridMultilevel"/>
    <w:tmpl w:val="140203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34B1C3E"/>
    <w:multiLevelType w:val="hybridMultilevel"/>
    <w:tmpl w:val="40EC12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6BA5583"/>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57577808"/>
    <w:multiLevelType w:val="hybridMultilevel"/>
    <w:tmpl w:val="24042BC8"/>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59FE208B"/>
    <w:multiLevelType w:val="hybridMultilevel"/>
    <w:tmpl w:val="746021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5FD6255"/>
    <w:multiLevelType w:val="hybridMultilevel"/>
    <w:tmpl w:val="25C67D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69E6A34"/>
    <w:multiLevelType w:val="hybridMultilevel"/>
    <w:tmpl w:val="0FE62C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A804B99"/>
    <w:multiLevelType w:val="hybridMultilevel"/>
    <w:tmpl w:val="E1E818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7"/>
  </w:num>
  <w:num w:numId="4">
    <w:abstractNumId w:val="10"/>
  </w:num>
  <w:num w:numId="5">
    <w:abstractNumId w:val="4"/>
  </w:num>
  <w:num w:numId="6">
    <w:abstractNumId w:val="8"/>
  </w:num>
  <w:num w:numId="7">
    <w:abstractNumId w:val="3"/>
  </w:num>
  <w:num w:numId="8">
    <w:abstractNumId w:val="9"/>
  </w:num>
  <w:num w:numId="9">
    <w:abstractNumId w:val="5"/>
  </w:num>
  <w:num w:numId="10">
    <w:abstractNumId w:val="6"/>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efaultTabStop w:val="720"/>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7776"/>
    <w:rsid w:val="000033D7"/>
    <w:rsid w:val="00007FB5"/>
    <w:rsid w:val="00023C08"/>
    <w:rsid w:val="000274D4"/>
    <w:rsid w:val="00027B3B"/>
    <w:rsid w:val="00040F32"/>
    <w:rsid w:val="0004352D"/>
    <w:rsid w:val="0004437D"/>
    <w:rsid w:val="000473C9"/>
    <w:rsid w:val="0005456A"/>
    <w:rsid w:val="00060684"/>
    <w:rsid w:val="00062C8E"/>
    <w:rsid w:val="00063F5F"/>
    <w:rsid w:val="000763D4"/>
    <w:rsid w:val="000857C1"/>
    <w:rsid w:val="00087BF8"/>
    <w:rsid w:val="000952B0"/>
    <w:rsid w:val="000A1A8B"/>
    <w:rsid w:val="000A75C4"/>
    <w:rsid w:val="000B18D4"/>
    <w:rsid w:val="000D09E9"/>
    <w:rsid w:val="000D68D8"/>
    <w:rsid w:val="000D72F3"/>
    <w:rsid w:val="000E0FCB"/>
    <w:rsid w:val="000E1A31"/>
    <w:rsid w:val="000E1DB8"/>
    <w:rsid w:val="000E2D77"/>
    <w:rsid w:val="000E6AFF"/>
    <w:rsid w:val="000F18F3"/>
    <w:rsid w:val="00112082"/>
    <w:rsid w:val="00112F24"/>
    <w:rsid w:val="001130DA"/>
    <w:rsid w:val="00115FFB"/>
    <w:rsid w:val="00116DDA"/>
    <w:rsid w:val="00131F33"/>
    <w:rsid w:val="00156F14"/>
    <w:rsid w:val="00163B50"/>
    <w:rsid w:val="00180C0F"/>
    <w:rsid w:val="00191750"/>
    <w:rsid w:val="001922B3"/>
    <w:rsid w:val="00194587"/>
    <w:rsid w:val="001A1133"/>
    <w:rsid w:val="001A4389"/>
    <w:rsid w:val="001B2F8D"/>
    <w:rsid w:val="001C036B"/>
    <w:rsid w:val="001C4D40"/>
    <w:rsid w:val="001D6ADA"/>
    <w:rsid w:val="001F41D5"/>
    <w:rsid w:val="001F7AB2"/>
    <w:rsid w:val="001F7F7B"/>
    <w:rsid w:val="00213C3B"/>
    <w:rsid w:val="0022195C"/>
    <w:rsid w:val="00222253"/>
    <w:rsid w:val="00222FF3"/>
    <w:rsid w:val="0022676B"/>
    <w:rsid w:val="00251D05"/>
    <w:rsid w:val="00253E8A"/>
    <w:rsid w:val="00254831"/>
    <w:rsid w:val="002561F6"/>
    <w:rsid w:val="0026216D"/>
    <w:rsid w:val="00272487"/>
    <w:rsid w:val="002874E2"/>
    <w:rsid w:val="0029201E"/>
    <w:rsid w:val="00296BEC"/>
    <w:rsid w:val="002B1B65"/>
    <w:rsid w:val="002B30D0"/>
    <w:rsid w:val="002C0B75"/>
    <w:rsid w:val="002C0E3D"/>
    <w:rsid w:val="002D44A1"/>
    <w:rsid w:val="002D7E0A"/>
    <w:rsid w:val="002E3766"/>
    <w:rsid w:val="002F22E0"/>
    <w:rsid w:val="002F5765"/>
    <w:rsid w:val="002F59A6"/>
    <w:rsid w:val="002F62A9"/>
    <w:rsid w:val="00300D6E"/>
    <w:rsid w:val="0030106C"/>
    <w:rsid w:val="00311133"/>
    <w:rsid w:val="0031193D"/>
    <w:rsid w:val="00315699"/>
    <w:rsid w:val="00320201"/>
    <w:rsid w:val="00335AC1"/>
    <w:rsid w:val="0034151C"/>
    <w:rsid w:val="00345743"/>
    <w:rsid w:val="00347462"/>
    <w:rsid w:val="00353ECF"/>
    <w:rsid w:val="00364B47"/>
    <w:rsid w:val="00367EFF"/>
    <w:rsid w:val="003735E1"/>
    <w:rsid w:val="00380943"/>
    <w:rsid w:val="003821AC"/>
    <w:rsid w:val="00384C5A"/>
    <w:rsid w:val="003A2765"/>
    <w:rsid w:val="003B6302"/>
    <w:rsid w:val="003C5B80"/>
    <w:rsid w:val="003C615C"/>
    <w:rsid w:val="003D118D"/>
    <w:rsid w:val="003E7102"/>
    <w:rsid w:val="00401C59"/>
    <w:rsid w:val="00405D2E"/>
    <w:rsid w:val="00410BEA"/>
    <w:rsid w:val="0041405F"/>
    <w:rsid w:val="004147D1"/>
    <w:rsid w:val="0041685D"/>
    <w:rsid w:val="004200A3"/>
    <w:rsid w:val="00431450"/>
    <w:rsid w:val="00432AD9"/>
    <w:rsid w:val="00435D0E"/>
    <w:rsid w:val="004400B6"/>
    <w:rsid w:val="0044137E"/>
    <w:rsid w:val="0044151D"/>
    <w:rsid w:val="00442867"/>
    <w:rsid w:val="004507B6"/>
    <w:rsid w:val="004516BE"/>
    <w:rsid w:val="00452B2D"/>
    <w:rsid w:val="0045316E"/>
    <w:rsid w:val="00453AE2"/>
    <w:rsid w:val="004722CD"/>
    <w:rsid w:val="00480AFB"/>
    <w:rsid w:val="004840D4"/>
    <w:rsid w:val="00492016"/>
    <w:rsid w:val="004940E0"/>
    <w:rsid w:val="004A6A6A"/>
    <w:rsid w:val="004A770B"/>
    <w:rsid w:val="004B62FB"/>
    <w:rsid w:val="004C3338"/>
    <w:rsid w:val="004C3C69"/>
    <w:rsid w:val="004C3EBA"/>
    <w:rsid w:val="004D6453"/>
    <w:rsid w:val="004D747E"/>
    <w:rsid w:val="004E3DC1"/>
    <w:rsid w:val="005130D4"/>
    <w:rsid w:val="005166DE"/>
    <w:rsid w:val="005265D4"/>
    <w:rsid w:val="00527674"/>
    <w:rsid w:val="00530E88"/>
    <w:rsid w:val="005340F3"/>
    <w:rsid w:val="005406FC"/>
    <w:rsid w:val="00561EB9"/>
    <w:rsid w:val="00567128"/>
    <w:rsid w:val="00573A43"/>
    <w:rsid w:val="00575C55"/>
    <w:rsid w:val="00587CA5"/>
    <w:rsid w:val="0059410E"/>
    <w:rsid w:val="0059792B"/>
    <w:rsid w:val="005A7ABD"/>
    <w:rsid w:val="005B1CF5"/>
    <w:rsid w:val="005B2C0F"/>
    <w:rsid w:val="005C0B5C"/>
    <w:rsid w:val="005C54BD"/>
    <w:rsid w:val="005E0EB0"/>
    <w:rsid w:val="005E352F"/>
    <w:rsid w:val="005E5370"/>
    <w:rsid w:val="005F4E12"/>
    <w:rsid w:val="005F7B24"/>
    <w:rsid w:val="00610108"/>
    <w:rsid w:val="00611233"/>
    <w:rsid w:val="00627192"/>
    <w:rsid w:val="006403DC"/>
    <w:rsid w:val="00644877"/>
    <w:rsid w:val="00645A9A"/>
    <w:rsid w:val="00646783"/>
    <w:rsid w:val="00664479"/>
    <w:rsid w:val="006666A1"/>
    <w:rsid w:val="006675B5"/>
    <w:rsid w:val="006722F2"/>
    <w:rsid w:val="006850F4"/>
    <w:rsid w:val="006908C7"/>
    <w:rsid w:val="00693032"/>
    <w:rsid w:val="00697464"/>
    <w:rsid w:val="006A7739"/>
    <w:rsid w:val="006B4C5B"/>
    <w:rsid w:val="006B7A14"/>
    <w:rsid w:val="006B7F63"/>
    <w:rsid w:val="006D06BF"/>
    <w:rsid w:val="006D0A38"/>
    <w:rsid w:val="006D254B"/>
    <w:rsid w:val="006D6ACF"/>
    <w:rsid w:val="006E34FF"/>
    <w:rsid w:val="006E5364"/>
    <w:rsid w:val="006F2E9C"/>
    <w:rsid w:val="00705011"/>
    <w:rsid w:val="00725460"/>
    <w:rsid w:val="007254B4"/>
    <w:rsid w:val="00732173"/>
    <w:rsid w:val="00743B65"/>
    <w:rsid w:val="007556E8"/>
    <w:rsid w:val="00765582"/>
    <w:rsid w:val="007669A6"/>
    <w:rsid w:val="00772985"/>
    <w:rsid w:val="00774040"/>
    <w:rsid w:val="00780965"/>
    <w:rsid w:val="00790753"/>
    <w:rsid w:val="0079291C"/>
    <w:rsid w:val="007A0E7A"/>
    <w:rsid w:val="007A4757"/>
    <w:rsid w:val="007B0F9A"/>
    <w:rsid w:val="007B21D3"/>
    <w:rsid w:val="007C038B"/>
    <w:rsid w:val="007C2AA1"/>
    <w:rsid w:val="007C3B52"/>
    <w:rsid w:val="007C554F"/>
    <w:rsid w:val="007C7E38"/>
    <w:rsid w:val="007D29F8"/>
    <w:rsid w:val="007D5222"/>
    <w:rsid w:val="007E5159"/>
    <w:rsid w:val="007E7739"/>
    <w:rsid w:val="007E7E08"/>
    <w:rsid w:val="007F64C3"/>
    <w:rsid w:val="0080312A"/>
    <w:rsid w:val="00810ED9"/>
    <w:rsid w:val="00811909"/>
    <w:rsid w:val="00811E26"/>
    <w:rsid w:val="008151F7"/>
    <w:rsid w:val="0082673E"/>
    <w:rsid w:val="00830545"/>
    <w:rsid w:val="00846E20"/>
    <w:rsid w:val="008677AA"/>
    <w:rsid w:val="0087170B"/>
    <w:rsid w:val="00872875"/>
    <w:rsid w:val="00874017"/>
    <w:rsid w:val="008801D0"/>
    <w:rsid w:val="00881253"/>
    <w:rsid w:val="008843F7"/>
    <w:rsid w:val="0089271D"/>
    <w:rsid w:val="008946A8"/>
    <w:rsid w:val="0089644C"/>
    <w:rsid w:val="008A151C"/>
    <w:rsid w:val="008A3F22"/>
    <w:rsid w:val="008A4FF1"/>
    <w:rsid w:val="008B1F79"/>
    <w:rsid w:val="008B4702"/>
    <w:rsid w:val="008B7912"/>
    <w:rsid w:val="008C28D7"/>
    <w:rsid w:val="008C6C2D"/>
    <w:rsid w:val="008C70D4"/>
    <w:rsid w:val="008D687C"/>
    <w:rsid w:val="008E48EE"/>
    <w:rsid w:val="008F6AF0"/>
    <w:rsid w:val="00901D2B"/>
    <w:rsid w:val="009043CC"/>
    <w:rsid w:val="00904E04"/>
    <w:rsid w:val="009160FD"/>
    <w:rsid w:val="0092105C"/>
    <w:rsid w:val="009250C3"/>
    <w:rsid w:val="00926193"/>
    <w:rsid w:val="00937674"/>
    <w:rsid w:val="00940BD0"/>
    <w:rsid w:val="009667EE"/>
    <w:rsid w:val="0097123C"/>
    <w:rsid w:val="00976B5A"/>
    <w:rsid w:val="009846DF"/>
    <w:rsid w:val="0099298F"/>
    <w:rsid w:val="009966B9"/>
    <w:rsid w:val="00996C33"/>
    <w:rsid w:val="009B2D95"/>
    <w:rsid w:val="009B5B3A"/>
    <w:rsid w:val="009D0EA2"/>
    <w:rsid w:val="009E6E62"/>
    <w:rsid w:val="00A1205D"/>
    <w:rsid w:val="00A327CE"/>
    <w:rsid w:val="00A32DEA"/>
    <w:rsid w:val="00A46659"/>
    <w:rsid w:val="00A60F87"/>
    <w:rsid w:val="00A71ACD"/>
    <w:rsid w:val="00A73139"/>
    <w:rsid w:val="00A73999"/>
    <w:rsid w:val="00A75D3E"/>
    <w:rsid w:val="00A77BF8"/>
    <w:rsid w:val="00A900EA"/>
    <w:rsid w:val="00A92A72"/>
    <w:rsid w:val="00A93F33"/>
    <w:rsid w:val="00A94BC4"/>
    <w:rsid w:val="00AA0678"/>
    <w:rsid w:val="00AA2898"/>
    <w:rsid w:val="00AA5897"/>
    <w:rsid w:val="00AB1A7F"/>
    <w:rsid w:val="00AB28CC"/>
    <w:rsid w:val="00AC07D4"/>
    <w:rsid w:val="00AC1BFA"/>
    <w:rsid w:val="00AD2D24"/>
    <w:rsid w:val="00AE5667"/>
    <w:rsid w:val="00AE6569"/>
    <w:rsid w:val="00AF4CA6"/>
    <w:rsid w:val="00AF510D"/>
    <w:rsid w:val="00B10757"/>
    <w:rsid w:val="00B12C9E"/>
    <w:rsid w:val="00B16287"/>
    <w:rsid w:val="00B32B34"/>
    <w:rsid w:val="00B37C91"/>
    <w:rsid w:val="00B40EBF"/>
    <w:rsid w:val="00B41E2C"/>
    <w:rsid w:val="00B53FB5"/>
    <w:rsid w:val="00B5774A"/>
    <w:rsid w:val="00B61126"/>
    <w:rsid w:val="00B6237C"/>
    <w:rsid w:val="00B7391F"/>
    <w:rsid w:val="00B744E9"/>
    <w:rsid w:val="00B827AD"/>
    <w:rsid w:val="00B84917"/>
    <w:rsid w:val="00B86C11"/>
    <w:rsid w:val="00B90CE5"/>
    <w:rsid w:val="00B9361B"/>
    <w:rsid w:val="00B95DE2"/>
    <w:rsid w:val="00B96C47"/>
    <w:rsid w:val="00BA423D"/>
    <w:rsid w:val="00BB2C06"/>
    <w:rsid w:val="00BB334F"/>
    <w:rsid w:val="00BC74EB"/>
    <w:rsid w:val="00BD469A"/>
    <w:rsid w:val="00BD4A78"/>
    <w:rsid w:val="00BE3C2D"/>
    <w:rsid w:val="00BF7233"/>
    <w:rsid w:val="00C0433E"/>
    <w:rsid w:val="00C046C2"/>
    <w:rsid w:val="00C0694D"/>
    <w:rsid w:val="00C10A93"/>
    <w:rsid w:val="00C15301"/>
    <w:rsid w:val="00C15DE8"/>
    <w:rsid w:val="00C27076"/>
    <w:rsid w:val="00C31EAF"/>
    <w:rsid w:val="00C31F14"/>
    <w:rsid w:val="00C34D1A"/>
    <w:rsid w:val="00C36963"/>
    <w:rsid w:val="00C37B91"/>
    <w:rsid w:val="00C51FF1"/>
    <w:rsid w:val="00C56909"/>
    <w:rsid w:val="00C609C3"/>
    <w:rsid w:val="00C60AFC"/>
    <w:rsid w:val="00C6434D"/>
    <w:rsid w:val="00C66D9D"/>
    <w:rsid w:val="00C72C11"/>
    <w:rsid w:val="00C7444E"/>
    <w:rsid w:val="00C77AAC"/>
    <w:rsid w:val="00C82E8D"/>
    <w:rsid w:val="00C874A9"/>
    <w:rsid w:val="00C97D70"/>
    <w:rsid w:val="00CA2080"/>
    <w:rsid w:val="00CA41D7"/>
    <w:rsid w:val="00CA491A"/>
    <w:rsid w:val="00CB6040"/>
    <w:rsid w:val="00CB7B17"/>
    <w:rsid w:val="00CC12A9"/>
    <w:rsid w:val="00CD2130"/>
    <w:rsid w:val="00CD579B"/>
    <w:rsid w:val="00CE2771"/>
    <w:rsid w:val="00CE66A2"/>
    <w:rsid w:val="00CF463A"/>
    <w:rsid w:val="00D060D1"/>
    <w:rsid w:val="00D10F90"/>
    <w:rsid w:val="00D11AA1"/>
    <w:rsid w:val="00D11BB3"/>
    <w:rsid w:val="00D156BA"/>
    <w:rsid w:val="00D57776"/>
    <w:rsid w:val="00D6481C"/>
    <w:rsid w:val="00D7235D"/>
    <w:rsid w:val="00D726B3"/>
    <w:rsid w:val="00D741CC"/>
    <w:rsid w:val="00D81625"/>
    <w:rsid w:val="00D914D6"/>
    <w:rsid w:val="00D919E8"/>
    <w:rsid w:val="00D96529"/>
    <w:rsid w:val="00DA4C92"/>
    <w:rsid w:val="00DB033B"/>
    <w:rsid w:val="00DB3BD1"/>
    <w:rsid w:val="00DB7A78"/>
    <w:rsid w:val="00DC2D7D"/>
    <w:rsid w:val="00DC3802"/>
    <w:rsid w:val="00DD61E3"/>
    <w:rsid w:val="00DE327E"/>
    <w:rsid w:val="00DE4159"/>
    <w:rsid w:val="00DF26D8"/>
    <w:rsid w:val="00DF392E"/>
    <w:rsid w:val="00E05117"/>
    <w:rsid w:val="00E10029"/>
    <w:rsid w:val="00E2010C"/>
    <w:rsid w:val="00E2764D"/>
    <w:rsid w:val="00E31B0F"/>
    <w:rsid w:val="00E35952"/>
    <w:rsid w:val="00E369E2"/>
    <w:rsid w:val="00E41EBB"/>
    <w:rsid w:val="00E44623"/>
    <w:rsid w:val="00E500E7"/>
    <w:rsid w:val="00E60A9D"/>
    <w:rsid w:val="00E93D07"/>
    <w:rsid w:val="00EB263B"/>
    <w:rsid w:val="00EB6776"/>
    <w:rsid w:val="00EC2100"/>
    <w:rsid w:val="00EC7D17"/>
    <w:rsid w:val="00ED4DE2"/>
    <w:rsid w:val="00EE5F25"/>
    <w:rsid w:val="00EE6F4F"/>
    <w:rsid w:val="00EF0610"/>
    <w:rsid w:val="00EF2229"/>
    <w:rsid w:val="00F06012"/>
    <w:rsid w:val="00F17B01"/>
    <w:rsid w:val="00F211A5"/>
    <w:rsid w:val="00F2506E"/>
    <w:rsid w:val="00F255FE"/>
    <w:rsid w:val="00F32EAA"/>
    <w:rsid w:val="00F366C7"/>
    <w:rsid w:val="00F43341"/>
    <w:rsid w:val="00F466E2"/>
    <w:rsid w:val="00F568D9"/>
    <w:rsid w:val="00F703E7"/>
    <w:rsid w:val="00FA251D"/>
    <w:rsid w:val="00FA4872"/>
    <w:rsid w:val="00FA5FFC"/>
    <w:rsid w:val="00FB292D"/>
    <w:rsid w:val="00FC433E"/>
    <w:rsid w:val="00FC56B7"/>
    <w:rsid w:val="00FD378C"/>
    <w:rsid w:val="00FD3C71"/>
    <w:rsid w:val="00FD43EC"/>
    <w:rsid w:val="00FD5911"/>
    <w:rsid w:val="00FE2EA6"/>
    <w:rsid w:val="00FE3C75"/>
    <w:rsid w:val="00FE500F"/>
    <w:rsid w:val="00FE77AF"/>
    <w:rsid w:val="00FE799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0E9C9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1F7"/>
    <w:pPr>
      <w:spacing w:before="60" w:after="120"/>
      <w:jc w:val="both"/>
    </w:pPr>
    <w:rPr>
      <w:rFonts w:ascii="Times New Roman" w:hAnsi="Times New Roman"/>
      <w:sz w:val="24"/>
      <w:szCs w:val="24"/>
      <w:lang w:eastAsia="en-GB"/>
    </w:rPr>
  </w:style>
  <w:style w:type="paragraph" w:styleId="Heading1">
    <w:name w:val="heading 1"/>
    <w:basedOn w:val="Normal"/>
    <w:next w:val="Normal"/>
    <w:link w:val="Heading1Char"/>
    <w:uiPriority w:val="99"/>
    <w:qFormat/>
    <w:rsid w:val="001F7F7B"/>
    <w:pPr>
      <w:keepNext/>
      <w:keepLines/>
      <w:spacing w:before="480" w:after="0"/>
      <w:outlineLvl w:val="0"/>
    </w:pPr>
    <w:rPr>
      <w:rFonts w:ascii="Cambria" w:hAnsi="Cambria"/>
      <w:b/>
      <w:bCs/>
      <w:color w:val="365F91"/>
      <w:sz w:val="32"/>
      <w:szCs w:val="32"/>
      <w:lang w:eastAsia="en-US"/>
    </w:rPr>
  </w:style>
  <w:style w:type="paragraph" w:styleId="Heading2">
    <w:name w:val="heading 2"/>
    <w:basedOn w:val="Normal"/>
    <w:next w:val="Normal"/>
    <w:link w:val="Heading2Char"/>
    <w:uiPriority w:val="99"/>
    <w:qFormat/>
    <w:rsid w:val="001F7F7B"/>
    <w:pPr>
      <w:keepNext/>
      <w:keepLines/>
      <w:spacing w:before="120" w:after="0"/>
      <w:ind w:left="646" w:hanging="504"/>
      <w:outlineLvl w:val="1"/>
    </w:pPr>
    <w:rPr>
      <w:b/>
      <w:bCs/>
    </w:rPr>
  </w:style>
  <w:style w:type="paragraph" w:styleId="Heading3">
    <w:name w:val="heading 3"/>
    <w:basedOn w:val="Normal"/>
    <w:next w:val="Normal"/>
    <w:link w:val="Heading3Char"/>
    <w:uiPriority w:val="99"/>
    <w:qFormat/>
    <w:rsid w:val="001F7F7B"/>
    <w:pPr>
      <w:keepNext/>
      <w:keepLines/>
      <w:spacing w:before="200" w:after="0"/>
      <w:outlineLvl w:val="2"/>
    </w:pPr>
    <w:rPr>
      <w:rFonts w:ascii="Cambria" w:hAnsi="Cambria"/>
      <w:b/>
      <w:bCs/>
      <w:color w:val="4F81BD"/>
      <w:sz w:val="22"/>
      <w:szCs w:val="22"/>
      <w:lang w:eastAsia="en-US"/>
    </w:rPr>
  </w:style>
  <w:style w:type="paragraph" w:styleId="Heading4">
    <w:name w:val="heading 4"/>
    <w:basedOn w:val="Normal"/>
    <w:next w:val="Normal"/>
    <w:link w:val="Heading4Char"/>
    <w:uiPriority w:val="99"/>
    <w:qFormat/>
    <w:rsid w:val="001F7F7B"/>
    <w:pPr>
      <w:keepNext/>
      <w:keepLines/>
      <w:spacing w:before="200" w:after="0"/>
      <w:outlineLvl w:val="3"/>
    </w:pPr>
    <w:rPr>
      <w:rFonts w:ascii="Cambria" w:hAnsi="Cambria"/>
      <w:b/>
      <w:bCs/>
      <w:i/>
      <w:iCs/>
      <w:color w:val="4F81BD"/>
      <w:sz w:val="22"/>
      <w:szCs w:val="22"/>
      <w:lang w:eastAsia="en-US"/>
    </w:rPr>
  </w:style>
  <w:style w:type="paragraph" w:styleId="Heading5">
    <w:name w:val="heading 5"/>
    <w:basedOn w:val="Normal"/>
    <w:next w:val="Normal"/>
    <w:link w:val="Heading5Char"/>
    <w:uiPriority w:val="99"/>
    <w:qFormat/>
    <w:rsid w:val="001F7F7B"/>
    <w:pPr>
      <w:keepNext/>
      <w:keepLines/>
      <w:spacing w:before="200" w:after="0"/>
      <w:outlineLvl w:val="4"/>
    </w:pPr>
    <w:rPr>
      <w:rFonts w:ascii="Cambria" w:hAnsi="Cambria"/>
      <w:color w:val="243F60"/>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link w:val="SourceChar"/>
    <w:uiPriority w:val="99"/>
    <w:qFormat/>
    <w:rsid w:val="001F7F7B"/>
    <w:pPr>
      <w:spacing w:before="40" w:after="0"/>
      <w:ind w:left="680" w:hanging="680"/>
    </w:pPr>
    <w:rPr>
      <w:rFonts w:ascii="Arial" w:hAnsi="Arial"/>
      <w:szCs w:val="20"/>
      <w:lang w:eastAsia="el-GR"/>
    </w:rPr>
  </w:style>
  <w:style w:type="character" w:customStyle="1" w:styleId="SourceChar">
    <w:name w:val="Source Char"/>
    <w:link w:val="Source"/>
    <w:uiPriority w:val="99"/>
    <w:locked/>
    <w:rsid w:val="001F7F7B"/>
    <w:rPr>
      <w:rFonts w:ascii="Arial" w:hAnsi="Arial"/>
      <w:sz w:val="24"/>
      <w:szCs w:val="20"/>
      <w:lang w:eastAsia="el-GR"/>
    </w:rPr>
  </w:style>
  <w:style w:type="character" w:customStyle="1" w:styleId="Heading1Char">
    <w:name w:val="Heading 1 Char"/>
    <w:basedOn w:val="DefaultParagraphFont"/>
    <w:link w:val="Heading1"/>
    <w:uiPriority w:val="99"/>
    <w:rsid w:val="001F7F7B"/>
    <w:rPr>
      <w:rFonts w:ascii="Cambria" w:hAnsi="Cambria"/>
      <w:b/>
      <w:bCs/>
      <w:color w:val="365F91"/>
      <w:sz w:val="32"/>
      <w:szCs w:val="32"/>
    </w:rPr>
  </w:style>
  <w:style w:type="character" w:customStyle="1" w:styleId="Heading2Char">
    <w:name w:val="Heading 2 Char"/>
    <w:basedOn w:val="DefaultParagraphFont"/>
    <w:link w:val="Heading2"/>
    <w:uiPriority w:val="99"/>
    <w:rsid w:val="001F7F7B"/>
    <w:rPr>
      <w:rFonts w:ascii="Times New Roman" w:hAnsi="Times New Roman"/>
      <w:b/>
      <w:bCs/>
      <w:sz w:val="24"/>
      <w:szCs w:val="24"/>
      <w:lang w:eastAsia="en-GB"/>
    </w:rPr>
  </w:style>
  <w:style w:type="character" w:customStyle="1" w:styleId="Heading3Char">
    <w:name w:val="Heading 3 Char"/>
    <w:basedOn w:val="DefaultParagraphFont"/>
    <w:link w:val="Heading3"/>
    <w:uiPriority w:val="99"/>
    <w:rsid w:val="001F7F7B"/>
    <w:rPr>
      <w:rFonts w:ascii="Cambria" w:hAnsi="Cambria"/>
      <w:b/>
      <w:bCs/>
      <w:color w:val="4F81BD"/>
    </w:rPr>
  </w:style>
  <w:style w:type="character" w:customStyle="1" w:styleId="Heading4Char">
    <w:name w:val="Heading 4 Char"/>
    <w:basedOn w:val="DefaultParagraphFont"/>
    <w:link w:val="Heading4"/>
    <w:uiPriority w:val="99"/>
    <w:rsid w:val="001F7F7B"/>
    <w:rPr>
      <w:rFonts w:ascii="Cambria" w:hAnsi="Cambria"/>
      <w:b/>
      <w:bCs/>
      <w:i/>
      <w:iCs/>
      <w:color w:val="4F81BD"/>
    </w:rPr>
  </w:style>
  <w:style w:type="character" w:customStyle="1" w:styleId="Heading5Char">
    <w:name w:val="Heading 5 Char"/>
    <w:basedOn w:val="DefaultParagraphFont"/>
    <w:link w:val="Heading5"/>
    <w:uiPriority w:val="99"/>
    <w:rsid w:val="001F7F7B"/>
    <w:rPr>
      <w:rFonts w:ascii="Cambria" w:hAnsi="Cambria"/>
      <w:color w:val="243F60"/>
    </w:rPr>
  </w:style>
  <w:style w:type="paragraph" w:styleId="Caption">
    <w:name w:val="caption"/>
    <w:basedOn w:val="Normal"/>
    <w:next w:val="Normal"/>
    <w:link w:val="CaptionChar"/>
    <w:uiPriority w:val="99"/>
    <w:qFormat/>
    <w:rsid w:val="001F7F7B"/>
    <w:pPr>
      <w:keepNext/>
      <w:spacing w:before="360"/>
      <w:ind w:left="1049" w:hanging="1049"/>
    </w:pPr>
    <w:rPr>
      <w:rFonts w:ascii="Arial" w:hAnsi="Arial"/>
      <w:b/>
      <w:szCs w:val="22"/>
      <w:lang w:eastAsia="el-GR"/>
    </w:rPr>
  </w:style>
  <w:style w:type="character" w:customStyle="1" w:styleId="CaptionChar">
    <w:name w:val="Caption Char"/>
    <w:link w:val="Caption"/>
    <w:uiPriority w:val="99"/>
    <w:locked/>
    <w:rsid w:val="001F7F7B"/>
    <w:rPr>
      <w:rFonts w:ascii="Arial" w:hAnsi="Arial"/>
      <w:b/>
      <w:sz w:val="24"/>
      <w:lang w:eastAsia="el-GR"/>
    </w:rPr>
  </w:style>
  <w:style w:type="character" w:styleId="Strong">
    <w:name w:val="Strong"/>
    <w:basedOn w:val="DefaultParagraphFont"/>
    <w:uiPriority w:val="22"/>
    <w:qFormat/>
    <w:rsid w:val="001F7F7B"/>
    <w:rPr>
      <w:rFonts w:ascii="Times New Roman" w:hAnsi="Times New Roman" w:cs="Times New Roman" w:hint="default"/>
      <w:b/>
      <w:bCs/>
    </w:rPr>
  </w:style>
  <w:style w:type="paragraph" w:styleId="ListParagraph">
    <w:name w:val="List Paragraph"/>
    <w:basedOn w:val="Normal"/>
    <w:uiPriority w:val="34"/>
    <w:qFormat/>
    <w:rsid w:val="001F7F7B"/>
    <w:pPr>
      <w:ind w:left="720"/>
      <w:contextualSpacing/>
    </w:pPr>
  </w:style>
  <w:style w:type="paragraph" w:styleId="Quote">
    <w:name w:val="Quote"/>
    <w:basedOn w:val="Normal"/>
    <w:next w:val="Normal"/>
    <w:link w:val="QuoteChar"/>
    <w:uiPriority w:val="99"/>
    <w:qFormat/>
    <w:rsid w:val="001F7F7B"/>
    <w:rPr>
      <w:rFonts w:ascii="Calibri" w:hAnsi="Calibri"/>
      <w:i/>
      <w:iCs/>
      <w:color w:val="000000"/>
      <w:sz w:val="22"/>
      <w:szCs w:val="22"/>
      <w:lang w:eastAsia="ja-JP"/>
    </w:rPr>
  </w:style>
  <w:style w:type="character" w:customStyle="1" w:styleId="QuoteChar">
    <w:name w:val="Quote Char"/>
    <w:basedOn w:val="DefaultParagraphFont"/>
    <w:link w:val="Quote"/>
    <w:uiPriority w:val="99"/>
    <w:rsid w:val="001F7F7B"/>
    <w:rPr>
      <w:i/>
      <w:iCs/>
      <w:color w:val="000000"/>
      <w:lang w:val="pl-PL" w:eastAsia="ja-JP"/>
    </w:rPr>
  </w:style>
  <w:style w:type="paragraph" w:styleId="TOCHeading">
    <w:name w:val="TOC Heading"/>
    <w:basedOn w:val="Heading1"/>
    <w:next w:val="Normal"/>
    <w:uiPriority w:val="99"/>
    <w:qFormat/>
    <w:rsid w:val="001F7F7B"/>
    <w:pPr>
      <w:outlineLvl w:val="9"/>
    </w:pPr>
    <w:rPr>
      <w:lang w:eastAsia="ja-JP"/>
    </w:rPr>
  </w:style>
  <w:style w:type="paragraph" w:styleId="Header">
    <w:name w:val="header"/>
    <w:basedOn w:val="Normal"/>
    <w:link w:val="HeaderChar"/>
    <w:uiPriority w:val="99"/>
    <w:unhideWhenUsed/>
    <w:rsid w:val="008151F7"/>
    <w:pPr>
      <w:tabs>
        <w:tab w:val="center" w:pos="4513"/>
        <w:tab w:val="right" w:pos="9026"/>
      </w:tabs>
      <w:spacing w:before="0" w:after="0"/>
    </w:pPr>
  </w:style>
  <w:style w:type="character" w:customStyle="1" w:styleId="HeaderChar">
    <w:name w:val="Header Char"/>
    <w:basedOn w:val="DefaultParagraphFont"/>
    <w:link w:val="Header"/>
    <w:uiPriority w:val="99"/>
    <w:rsid w:val="008151F7"/>
    <w:rPr>
      <w:rFonts w:ascii="Times New Roman" w:hAnsi="Times New Roman"/>
      <w:sz w:val="24"/>
      <w:szCs w:val="24"/>
      <w:lang w:eastAsia="en-GB"/>
    </w:rPr>
  </w:style>
  <w:style w:type="paragraph" w:styleId="Footer">
    <w:name w:val="footer"/>
    <w:basedOn w:val="Normal"/>
    <w:link w:val="FooterChar"/>
    <w:uiPriority w:val="99"/>
    <w:unhideWhenUsed/>
    <w:rsid w:val="008151F7"/>
    <w:pPr>
      <w:tabs>
        <w:tab w:val="center" w:pos="4513"/>
        <w:tab w:val="right" w:pos="9026"/>
      </w:tabs>
      <w:spacing w:before="0" w:after="0"/>
    </w:pPr>
  </w:style>
  <w:style w:type="character" w:customStyle="1" w:styleId="FooterChar">
    <w:name w:val="Footer Char"/>
    <w:basedOn w:val="DefaultParagraphFont"/>
    <w:link w:val="Footer"/>
    <w:uiPriority w:val="99"/>
    <w:rsid w:val="008151F7"/>
    <w:rPr>
      <w:rFonts w:ascii="Times New Roman" w:hAnsi="Times New Roman"/>
      <w:sz w:val="24"/>
      <w:szCs w:val="24"/>
      <w:lang w:eastAsia="en-GB"/>
    </w:rPr>
  </w:style>
  <w:style w:type="character" w:customStyle="1" w:styleId="FootnoteTextChar">
    <w:name w:val="Footnote Text Char"/>
    <w:aliases w:val="Tekst fusnote Char2 Char Char,Tekst fusnote Char1 Char1 Char Char,Tekst fusnote Char Char Char1 Char Char,Tekst fusnote Char1 Char Char Char Char Char,Tekst fusnote Char Char Char Char Char Char Char,fn Char,Fußnote Char"/>
    <w:basedOn w:val="DefaultParagraphFont"/>
    <w:link w:val="FootnoteText"/>
    <w:uiPriority w:val="99"/>
    <w:semiHidden/>
    <w:locked/>
    <w:rsid w:val="00A32DEA"/>
    <w:rPr>
      <w:sz w:val="20"/>
    </w:rPr>
  </w:style>
  <w:style w:type="paragraph" w:styleId="FootnoteText">
    <w:name w:val="footnote text"/>
    <w:aliases w:val="Tekst fusnote Char2 Char,Tekst fusnote Char1 Char1 Char,Tekst fusnote Char Char Char1 Char,Tekst fusnote Char1 Char Char Char Char,Tekst fusnote Char Char Char Char Char Char,Tekst fusnote Char Char1 Char Char,fn,Fußnote,Footnote Text Blue"/>
    <w:basedOn w:val="Normal"/>
    <w:link w:val="FootnoteTextChar"/>
    <w:uiPriority w:val="99"/>
    <w:semiHidden/>
    <w:unhideWhenUsed/>
    <w:qFormat/>
    <w:rsid w:val="00A32DEA"/>
    <w:pPr>
      <w:spacing w:before="0"/>
      <w:ind w:left="357" w:hanging="357"/>
    </w:pPr>
    <w:rPr>
      <w:rFonts w:ascii="Calibri" w:hAnsi="Calibri"/>
      <w:sz w:val="20"/>
      <w:szCs w:val="22"/>
      <w:lang w:eastAsia="en-US"/>
    </w:rPr>
  </w:style>
  <w:style w:type="character" w:customStyle="1" w:styleId="FootnoteTextChar1">
    <w:name w:val="Footnote Text Char1"/>
    <w:basedOn w:val="DefaultParagraphFont"/>
    <w:uiPriority w:val="99"/>
    <w:semiHidden/>
    <w:rsid w:val="00A32DEA"/>
    <w:rPr>
      <w:rFonts w:ascii="Times New Roman" w:hAnsi="Times New Roman"/>
      <w:sz w:val="20"/>
      <w:szCs w:val="20"/>
      <w:lang w:eastAsia="en-GB"/>
    </w:rPr>
  </w:style>
  <w:style w:type="paragraph" w:customStyle="1" w:styleId="Text1">
    <w:name w:val="Text 1"/>
    <w:basedOn w:val="Normal"/>
    <w:qFormat/>
    <w:rsid w:val="00A32DEA"/>
    <w:pPr>
      <w:spacing w:before="0" w:after="240"/>
      <w:ind w:left="482"/>
    </w:pPr>
    <w:rPr>
      <w:szCs w:val="20"/>
    </w:rPr>
  </w:style>
  <w:style w:type="character" w:styleId="FootnoteReference">
    <w:name w:val="footnote reference"/>
    <w:aliases w:val="Footnote symbol,Odwołanie przypisu,Footnote Reference Number,Footnote Reference Superscript,SUPERS,Times 10 Point,Exposant 3 Point,Footnote,Ref,de nota al pie,-E Fußnotenzeichen,ftref,number,stylish,fr,Footnote Char"/>
    <w:basedOn w:val="DefaultParagraphFont"/>
    <w:link w:val="FootnoteReferenceLVL6"/>
    <w:uiPriority w:val="99"/>
    <w:unhideWhenUsed/>
    <w:qFormat/>
    <w:rsid w:val="00A32DEA"/>
    <w:rPr>
      <w:vertAlign w:val="superscript"/>
    </w:rPr>
  </w:style>
  <w:style w:type="paragraph" w:customStyle="1" w:styleId="FootnoteReferenceLVL6">
    <w:name w:val="Footnote Reference_LVL6"/>
    <w:aliases w:val="Footnote Reference_LVL61,Footnote Reference_LVL62,Footnote Reference_LVL63,Footnote Reference_LVL64,Odwo&lt;0142&gt;anie przypisu,SUPER,BVI fnr Char1 Char"/>
    <w:basedOn w:val="Normal"/>
    <w:next w:val="Normal"/>
    <w:link w:val="FootnoteReference"/>
    <w:uiPriority w:val="99"/>
    <w:rsid w:val="00A32DEA"/>
    <w:pPr>
      <w:spacing w:before="0" w:after="160" w:line="240" w:lineRule="exact"/>
    </w:pPr>
    <w:rPr>
      <w:rFonts w:ascii="Calibri" w:hAnsi="Calibri"/>
      <w:sz w:val="22"/>
      <w:szCs w:val="22"/>
      <w:vertAlign w:val="superscript"/>
      <w:lang w:eastAsia="en-US"/>
    </w:rPr>
  </w:style>
  <w:style w:type="paragraph" w:styleId="Subtitle">
    <w:name w:val="Subtitle"/>
    <w:basedOn w:val="Normal"/>
    <w:next w:val="Normal"/>
    <w:link w:val="SubtitleChar"/>
    <w:qFormat/>
    <w:rsid w:val="00115FF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115FFB"/>
    <w:rPr>
      <w:rFonts w:asciiTheme="minorHAnsi" w:eastAsiaTheme="minorEastAsia" w:hAnsiTheme="minorHAnsi" w:cstheme="minorBidi"/>
      <w:color w:val="5A5A5A" w:themeColor="text1" w:themeTint="A5"/>
      <w:spacing w:val="15"/>
      <w:lang w:eastAsia="en-GB"/>
    </w:rPr>
  </w:style>
  <w:style w:type="paragraph" w:styleId="BalloonText">
    <w:name w:val="Balloon Text"/>
    <w:basedOn w:val="Normal"/>
    <w:link w:val="BalloonTextChar"/>
    <w:uiPriority w:val="99"/>
    <w:semiHidden/>
    <w:unhideWhenUsed/>
    <w:rsid w:val="009966B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6B9"/>
    <w:rPr>
      <w:rFonts w:ascii="Segoe UI" w:hAnsi="Segoe UI" w:cs="Segoe UI"/>
      <w:sz w:val="18"/>
      <w:szCs w:val="18"/>
      <w:lang w:eastAsia="en-GB"/>
    </w:rPr>
  </w:style>
  <w:style w:type="character" w:styleId="CommentReference">
    <w:name w:val="annotation reference"/>
    <w:basedOn w:val="DefaultParagraphFont"/>
    <w:uiPriority w:val="99"/>
    <w:semiHidden/>
    <w:unhideWhenUsed/>
    <w:rsid w:val="009966B9"/>
    <w:rPr>
      <w:sz w:val="16"/>
      <w:szCs w:val="16"/>
    </w:rPr>
  </w:style>
  <w:style w:type="paragraph" w:styleId="CommentText">
    <w:name w:val="annotation text"/>
    <w:basedOn w:val="Normal"/>
    <w:link w:val="CommentTextChar"/>
    <w:uiPriority w:val="99"/>
    <w:unhideWhenUsed/>
    <w:rsid w:val="009966B9"/>
    <w:rPr>
      <w:sz w:val="20"/>
      <w:szCs w:val="20"/>
    </w:rPr>
  </w:style>
  <w:style w:type="character" w:customStyle="1" w:styleId="CommentTextChar">
    <w:name w:val="Comment Text Char"/>
    <w:basedOn w:val="DefaultParagraphFont"/>
    <w:link w:val="CommentText"/>
    <w:uiPriority w:val="99"/>
    <w:rsid w:val="009966B9"/>
    <w:rPr>
      <w:rFonts w:ascii="Times New Roman" w:hAnsi="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966B9"/>
    <w:rPr>
      <w:b/>
      <w:bCs/>
    </w:rPr>
  </w:style>
  <w:style w:type="character" w:customStyle="1" w:styleId="CommentSubjectChar">
    <w:name w:val="Comment Subject Char"/>
    <w:basedOn w:val="CommentTextChar"/>
    <w:link w:val="CommentSubject"/>
    <w:uiPriority w:val="99"/>
    <w:semiHidden/>
    <w:rsid w:val="009966B9"/>
    <w:rPr>
      <w:rFonts w:ascii="Times New Roman" w:hAnsi="Times New Roman"/>
      <w:b/>
      <w:bCs/>
      <w:sz w:val="20"/>
      <w:szCs w:val="20"/>
      <w:lang w:eastAsia="en-GB"/>
    </w:rPr>
  </w:style>
  <w:style w:type="table" w:styleId="TableGrid">
    <w:name w:val="Table Grid"/>
    <w:basedOn w:val="TableNormal"/>
    <w:uiPriority w:val="59"/>
    <w:rsid w:val="00B1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3-Accent21">
    <w:name w:val="Grid Table 3 - Accent 21"/>
    <w:basedOn w:val="TableNormal"/>
    <w:uiPriority w:val="48"/>
    <w:rsid w:val="00FC433E"/>
    <w:rPr>
      <w:rFonts w:asciiTheme="minorHAnsi" w:eastAsiaTheme="minorHAnsi" w:hAnsiTheme="minorHAnsi" w:cstheme="minorBidi"/>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1Light-Accent3">
    <w:name w:val="Grid Table 1 Light Accent 3"/>
    <w:basedOn w:val="TableNormal"/>
    <w:uiPriority w:val="46"/>
    <w:rsid w:val="005340F3"/>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340F3"/>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3-Accent5">
    <w:name w:val="Grid Table 3 Accent 5"/>
    <w:basedOn w:val="TableNormal"/>
    <w:uiPriority w:val="48"/>
    <w:rsid w:val="005340F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5Dark-Accent5">
    <w:name w:val="Grid Table 5 Dark Accent 5"/>
    <w:basedOn w:val="TableNormal"/>
    <w:uiPriority w:val="50"/>
    <w:rsid w:val="005340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ListTable5Dark-Accent5">
    <w:name w:val="List Table 5 Dark Accent 5"/>
    <w:basedOn w:val="TableNormal"/>
    <w:uiPriority w:val="50"/>
    <w:rsid w:val="005340F3"/>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highlight">
    <w:name w:val="highlight"/>
    <w:basedOn w:val="DefaultParagraphFont"/>
    <w:rsid w:val="00A327CE"/>
  </w:style>
  <w:style w:type="paragraph" w:customStyle="1" w:styleId="Briefinglist1">
    <w:name w:val="Briefing list 1"/>
    <w:basedOn w:val="Normal"/>
    <w:rsid w:val="00C66D9D"/>
    <w:pPr>
      <w:keepLines/>
      <w:numPr>
        <w:numId w:val="1"/>
      </w:numPr>
      <w:spacing w:before="0"/>
    </w:pPr>
    <w:rPr>
      <w:rFonts w:ascii="Arial" w:hAnsi="Arial" w:cs="Arial"/>
      <w:sz w:val="22"/>
      <w:lang w:eastAsia="en-US"/>
    </w:rPr>
  </w:style>
  <w:style w:type="paragraph" w:customStyle="1" w:styleId="Briefingtext">
    <w:name w:val="Briefing text"/>
    <w:basedOn w:val="Normal"/>
    <w:rsid w:val="00F366C7"/>
    <w:pPr>
      <w:spacing w:before="0" w:after="240" w:line="256" w:lineRule="auto"/>
    </w:pPr>
    <w:rPr>
      <w:rFonts w:ascii="Arial" w:hAnsi="Arial" w:cs="Arial"/>
      <w:color w:val="000000"/>
      <w:kern w:val="28"/>
      <w:sz w:val="22"/>
      <w:szCs w:val="22"/>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40894">
      <w:bodyDiv w:val="1"/>
      <w:marLeft w:val="0"/>
      <w:marRight w:val="0"/>
      <w:marTop w:val="0"/>
      <w:marBottom w:val="0"/>
      <w:divBdr>
        <w:top w:val="none" w:sz="0" w:space="0" w:color="auto"/>
        <w:left w:val="none" w:sz="0" w:space="0" w:color="auto"/>
        <w:bottom w:val="none" w:sz="0" w:space="0" w:color="auto"/>
        <w:right w:val="none" w:sz="0" w:space="0" w:color="auto"/>
      </w:divBdr>
    </w:div>
    <w:div w:id="209611096">
      <w:bodyDiv w:val="1"/>
      <w:marLeft w:val="0"/>
      <w:marRight w:val="0"/>
      <w:marTop w:val="0"/>
      <w:marBottom w:val="0"/>
      <w:divBdr>
        <w:top w:val="none" w:sz="0" w:space="0" w:color="auto"/>
        <w:left w:val="none" w:sz="0" w:space="0" w:color="auto"/>
        <w:bottom w:val="none" w:sz="0" w:space="0" w:color="auto"/>
        <w:right w:val="none" w:sz="0" w:space="0" w:color="auto"/>
      </w:divBdr>
    </w:div>
    <w:div w:id="240146536">
      <w:bodyDiv w:val="1"/>
      <w:marLeft w:val="0"/>
      <w:marRight w:val="0"/>
      <w:marTop w:val="0"/>
      <w:marBottom w:val="0"/>
      <w:divBdr>
        <w:top w:val="none" w:sz="0" w:space="0" w:color="auto"/>
        <w:left w:val="none" w:sz="0" w:space="0" w:color="auto"/>
        <w:bottom w:val="none" w:sz="0" w:space="0" w:color="auto"/>
        <w:right w:val="none" w:sz="0" w:space="0" w:color="auto"/>
      </w:divBdr>
    </w:div>
    <w:div w:id="503015661">
      <w:bodyDiv w:val="1"/>
      <w:marLeft w:val="0"/>
      <w:marRight w:val="0"/>
      <w:marTop w:val="0"/>
      <w:marBottom w:val="0"/>
      <w:divBdr>
        <w:top w:val="none" w:sz="0" w:space="0" w:color="auto"/>
        <w:left w:val="none" w:sz="0" w:space="0" w:color="auto"/>
        <w:bottom w:val="none" w:sz="0" w:space="0" w:color="auto"/>
        <w:right w:val="none" w:sz="0" w:space="0" w:color="auto"/>
      </w:divBdr>
    </w:div>
    <w:div w:id="561991723">
      <w:bodyDiv w:val="1"/>
      <w:marLeft w:val="0"/>
      <w:marRight w:val="0"/>
      <w:marTop w:val="0"/>
      <w:marBottom w:val="0"/>
      <w:divBdr>
        <w:top w:val="none" w:sz="0" w:space="0" w:color="auto"/>
        <w:left w:val="none" w:sz="0" w:space="0" w:color="auto"/>
        <w:bottom w:val="none" w:sz="0" w:space="0" w:color="auto"/>
        <w:right w:val="none" w:sz="0" w:space="0" w:color="auto"/>
      </w:divBdr>
    </w:div>
    <w:div w:id="868492322">
      <w:bodyDiv w:val="1"/>
      <w:marLeft w:val="0"/>
      <w:marRight w:val="0"/>
      <w:marTop w:val="0"/>
      <w:marBottom w:val="0"/>
      <w:divBdr>
        <w:top w:val="none" w:sz="0" w:space="0" w:color="auto"/>
        <w:left w:val="none" w:sz="0" w:space="0" w:color="auto"/>
        <w:bottom w:val="none" w:sz="0" w:space="0" w:color="auto"/>
        <w:right w:val="none" w:sz="0" w:space="0" w:color="auto"/>
      </w:divBdr>
    </w:div>
    <w:div w:id="870847826">
      <w:bodyDiv w:val="1"/>
      <w:marLeft w:val="0"/>
      <w:marRight w:val="0"/>
      <w:marTop w:val="0"/>
      <w:marBottom w:val="0"/>
      <w:divBdr>
        <w:top w:val="none" w:sz="0" w:space="0" w:color="auto"/>
        <w:left w:val="none" w:sz="0" w:space="0" w:color="auto"/>
        <w:bottom w:val="none" w:sz="0" w:space="0" w:color="auto"/>
        <w:right w:val="none" w:sz="0" w:space="0" w:color="auto"/>
      </w:divBdr>
    </w:div>
    <w:div w:id="994071441">
      <w:bodyDiv w:val="1"/>
      <w:marLeft w:val="0"/>
      <w:marRight w:val="0"/>
      <w:marTop w:val="0"/>
      <w:marBottom w:val="0"/>
      <w:divBdr>
        <w:top w:val="none" w:sz="0" w:space="0" w:color="auto"/>
        <w:left w:val="none" w:sz="0" w:space="0" w:color="auto"/>
        <w:bottom w:val="none" w:sz="0" w:space="0" w:color="auto"/>
        <w:right w:val="none" w:sz="0" w:space="0" w:color="auto"/>
      </w:divBdr>
    </w:div>
    <w:div w:id="995303665">
      <w:bodyDiv w:val="1"/>
      <w:marLeft w:val="0"/>
      <w:marRight w:val="0"/>
      <w:marTop w:val="0"/>
      <w:marBottom w:val="0"/>
      <w:divBdr>
        <w:top w:val="none" w:sz="0" w:space="0" w:color="auto"/>
        <w:left w:val="none" w:sz="0" w:space="0" w:color="auto"/>
        <w:bottom w:val="none" w:sz="0" w:space="0" w:color="auto"/>
        <w:right w:val="none" w:sz="0" w:space="0" w:color="auto"/>
      </w:divBdr>
    </w:div>
    <w:div w:id="1023705043">
      <w:bodyDiv w:val="1"/>
      <w:marLeft w:val="0"/>
      <w:marRight w:val="0"/>
      <w:marTop w:val="0"/>
      <w:marBottom w:val="0"/>
      <w:divBdr>
        <w:top w:val="none" w:sz="0" w:space="0" w:color="auto"/>
        <w:left w:val="none" w:sz="0" w:space="0" w:color="auto"/>
        <w:bottom w:val="none" w:sz="0" w:space="0" w:color="auto"/>
        <w:right w:val="none" w:sz="0" w:space="0" w:color="auto"/>
      </w:divBdr>
    </w:div>
    <w:div w:id="1027870285">
      <w:bodyDiv w:val="1"/>
      <w:marLeft w:val="0"/>
      <w:marRight w:val="0"/>
      <w:marTop w:val="0"/>
      <w:marBottom w:val="0"/>
      <w:divBdr>
        <w:top w:val="none" w:sz="0" w:space="0" w:color="auto"/>
        <w:left w:val="none" w:sz="0" w:space="0" w:color="auto"/>
        <w:bottom w:val="none" w:sz="0" w:space="0" w:color="auto"/>
        <w:right w:val="none" w:sz="0" w:space="0" w:color="auto"/>
      </w:divBdr>
    </w:div>
    <w:div w:id="1493138053">
      <w:bodyDiv w:val="1"/>
      <w:marLeft w:val="0"/>
      <w:marRight w:val="0"/>
      <w:marTop w:val="0"/>
      <w:marBottom w:val="0"/>
      <w:divBdr>
        <w:top w:val="none" w:sz="0" w:space="0" w:color="auto"/>
        <w:left w:val="none" w:sz="0" w:space="0" w:color="auto"/>
        <w:bottom w:val="none" w:sz="0" w:space="0" w:color="auto"/>
        <w:right w:val="none" w:sz="0" w:space="0" w:color="auto"/>
      </w:divBdr>
    </w:div>
    <w:div w:id="1522284965">
      <w:bodyDiv w:val="1"/>
      <w:marLeft w:val="0"/>
      <w:marRight w:val="0"/>
      <w:marTop w:val="0"/>
      <w:marBottom w:val="0"/>
      <w:divBdr>
        <w:top w:val="none" w:sz="0" w:space="0" w:color="auto"/>
        <w:left w:val="none" w:sz="0" w:space="0" w:color="auto"/>
        <w:bottom w:val="none" w:sz="0" w:space="0" w:color="auto"/>
        <w:right w:val="none" w:sz="0" w:space="0" w:color="auto"/>
      </w:divBdr>
    </w:div>
    <w:div w:id="1626890285">
      <w:bodyDiv w:val="1"/>
      <w:marLeft w:val="0"/>
      <w:marRight w:val="0"/>
      <w:marTop w:val="0"/>
      <w:marBottom w:val="0"/>
      <w:divBdr>
        <w:top w:val="none" w:sz="0" w:space="0" w:color="auto"/>
        <w:left w:val="none" w:sz="0" w:space="0" w:color="auto"/>
        <w:bottom w:val="none" w:sz="0" w:space="0" w:color="auto"/>
        <w:right w:val="none" w:sz="0" w:space="0" w:color="auto"/>
      </w:divBdr>
    </w:div>
    <w:div w:id="1634361809">
      <w:bodyDiv w:val="1"/>
      <w:marLeft w:val="0"/>
      <w:marRight w:val="0"/>
      <w:marTop w:val="0"/>
      <w:marBottom w:val="0"/>
      <w:divBdr>
        <w:top w:val="none" w:sz="0" w:space="0" w:color="auto"/>
        <w:left w:val="none" w:sz="0" w:space="0" w:color="auto"/>
        <w:bottom w:val="none" w:sz="0" w:space="0" w:color="auto"/>
        <w:right w:val="none" w:sz="0" w:space="0" w:color="auto"/>
      </w:divBdr>
    </w:div>
    <w:div w:id="1638947482">
      <w:bodyDiv w:val="1"/>
      <w:marLeft w:val="0"/>
      <w:marRight w:val="0"/>
      <w:marTop w:val="0"/>
      <w:marBottom w:val="0"/>
      <w:divBdr>
        <w:top w:val="none" w:sz="0" w:space="0" w:color="auto"/>
        <w:left w:val="none" w:sz="0" w:space="0" w:color="auto"/>
        <w:bottom w:val="none" w:sz="0" w:space="0" w:color="auto"/>
        <w:right w:val="none" w:sz="0" w:space="0" w:color="auto"/>
      </w:divBdr>
    </w:div>
    <w:div w:id="1796026017">
      <w:bodyDiv w:val="1"/>
      <w:marLeft w:val="0"/>
      <w:marRight w:val="0"/>
      <w:marTop w:val="0"/>
      <w:marBottom w:val="0"/>
      <w:divBdr>
        <w:top w:val="none" w:sz="0" w:space="0" w:color="auto"/>
        <w:left w:val="none" w:sz="0" w:space="0" w:color="auto"/>
        <w:bottom w:val="none" w:sz="0" w:space="0" w:color="auto"/>
        <w:right w:val="none" w:sz="0" w:space="0" w:color="auto"/>
      </w:divBdr>
    </w:div>
    <w:div w:id="202601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081208EEDCFC843807B22F6F2C1FEC1" ma:contentTypeVersion="15" ma:contentTypeDescription="Create a new document." ma:contentTypeScope="" ma:versionID="f00b3df5ab4125de076a6118af11f1a1">
  <xsd:schema xmlns:xsd="http://www.w3.org/2001/XMLSchema" xmlns:xs="http://www.w3.org/2001/XMLSchema" xmlns:p="http://schemas.microsoft.com/office/2006/metadata/properties" xmlns:ns2="d2efb67e-a73a-4854-91ed-02b4abe1649e" xmlns:ns3="1b1fca5a-21d0-43aa-863b-526438e901f5" targetNamespace="http://schemas.microsoft.com/office/2006/metadata/properties" ma:root="true" ma:fieldsID="c7f61680ea2bee05116aca8857cc1bb3" ns2:_="" ns3:_="">
    <xsd:import namespace="d2efb67e-a73a-4854-91ed-02b4abe1649e"/>
    <xsd:import namespace="1b1fca5a-21d0-43aa-863b-526438e901f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efb67e-a73a-4854-91ed-02b4abe164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1fca5a-21d0-43aa-863b-526438e901f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2efb67e-a73a-4854-91ed-02b4abe1649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A69DB9C-E887-457C-9317-BC166003FA40}">
  <ds:schemaRefs>
    <ds:schemaRef ds:uri="http://schemas.openxmlformats.org/officeDocument/2006/bibliography"/>
  </ds:schemaRefs>
</ds:datastoreItem>
</file>

<file path=customXml/itemProps2.xml><?xml version="1.0" encoding="utf-8"?>
<ds:datastoreItem xmlns:ds="http://schemas.openxmlformats.org/officeDocument/2006/customXml" ds:itemID="{24EC355A-9310-480A-A1C3-BD736BB19A24}"/>
</file>

<file path=customXml/itemProps3.xml><?xml version="1.0" encoding="utf-8"?>
<ds:datastoreItem xmlns:ds="http://schemas.openxmlformats.org/officeDocument/2006/customXml" ds:itemID="{71202BDA-8637-4AB0-89BD-5B486C1821B7}"/>
</file>

<file path=customXml/itemProps4.xml><?xml version="1.0" encoding="utf-8"?>
<ds:datastoreItem xmlns:ds="http://schemas.openxmlformats.org/officeDocument/2006/customXml" ds:itemID="{16C148BD-DF08-4DE7-A765-9D07F664CBE6}"/>
</file>

<file path=docProps/app.xml><?xml version="1.0" encoding="utf-8"?>
<Properties xmlns="http://schemas.openxmlformats.org/officeDocument/2006/extended-properties" xmlns:vt="http://schemas.openxmlformats.org/officeDocument/2006/docPropsVTypes">
  <Template>Normal</Template>
  <TotalTime>0</TotalTime>
  <Pages>7</Pages>
  <Words>1836</Words>
  <Characters>10818</Characters>
  <Application>Microsoft Office Word</Application>
  <DocSecurity>0</DocSecurity>
  <Lines>204</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2020-11-23T14:52:00Z</dcterms:created>
  <dcterms:modified xsi:type="dcterms:W3CDTF">2021-02-09T13:59:00Z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0x010100F081208EEDCFC843807B22F6F2C1FEC1</vt:lpwstr>
  </property>
</Properties>
</file>