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ΣΥΜΦΩΝΟ ΓΙΑ ΤΙΣ ΔΕΞΙΟΤΗΤΕΣ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Υπάρχουν μεγάλες δυνατότητες ενίσχυσης της κοινής δράσης, ώστε να μεγιστοποιηθεί ο αντίκτυπος των επενδύσεων στις δεξιότητες. Τις πολιτικές και τις δράσεις στον τομέα των δεξιοτήτων επωμίζονται πολλοί παράγοντες. Εταιρείες, εργαζόμενοι, φορείς παροχής εκπαίδευσης και κατάρτισης, εθνικές, περιφερειακές και τοπικές αρχές, εμπορικά επιμελητήρια και υπηρεσίες απασχόλησης συγκαταλέγονται στους παράγοντες που συμβάλλουν στην επίτευξη των στόχων αναβάθμισης των υφιστάμενων δεξιοτήτων και απόκτησης νέων (</w:t>
      </w:r>
      <w:proofErr w:type="spellStart"/>
      <w:r>
        <w:rPr>
          <w:rFonts w:ascii="EC Square Sans Pro" w:hAnsi="EC Square Sans Pro"/>
        </w:rPr>
        <w:t>επανειδίκευσης</w:t>
      </w:r>
      <w:proofErr w:type="spellEnd"/>
      <w:r>
        <w:rPr>
          <w:rFonts w:ascii="EC Square Sans Pro" w:hAnsi="EC Square Sans Pro"/>
        </w:rPr>
        <w:t xml:space="preserve">). Ο συντονισμός των προσπαθειών μπορεί να εξασφαλίσει ένα σαφές πλαίσιο στα άτομα και τις επιχειρήσεις σε ολόκληρη την </w:t>
      </w:r>
      <w:proofErr w:type="spellStart"/>
      <w:r>
        <w:rPr>
          <w:rFonts w:ascii="EC Square Sans Pro" w:hAnsi="EC Square Sans Pro"/>
        </w:rPr>
        <w:t>αξιακή</w:t>
      </w:r>
      <w:proofErr w:type="spellEnd"/>
      <w:r>
        <w:rPr>
          <w:rFonts w:ascii="EC Square Sans Pro" w:hAnsi="EC Square Sans Pro"/>
        </w:rPr>
        <w:t xml:space="preserve"> αλυσίδα, να μειώσει το κόστος και να δοθεί έμφαση στις προτεραιότητες.</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Για τον λόγο αυτό, η Επιτροπή εγκαινιάζει ένα Σύμφωνο για τις Δεξιότητες, το οποίο αποτελεί μια κοινή δέσμευση και προσέγγιση όσον αφορά την ανάπτυξη δεξιοτήτων. Το Σύμφωνο συνδέεται στενά με τις αρχές του Ευρωπαϊκού Πυλώνα Κοινωνικών Δικαιωμάτων και στηρίζει τους στόχους της Πράσινης Συμφωνίας και του ψηφιακού μετασχηματισμού, όπως ορίζονται στην ανακοίνωση της Επιτροπής με τίτλο «Μια ισχυρή κοινωνική Ευρώπη για δίκαιες μεταβάσεις».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Στόχος του Συμφώνου είναι η κινητοποίηση πόρων και η παροχή κινήτρων σε ιδιωτικούς και δημόσιους ενδιαφερόμενους παράγοντες ώστε να αναλάβουν συγκεκριμένες δράσεις για την αναβάθμιση των δεξιοτήτων και την επανειδίκευση των ατόμων που βρίσκονται σε ηλικία εργασίας και, ανάλογα με την περίπτωση, ο συγκερασμός των προσπαθειών με τη δημιουργία εταιρικών σχέσεων.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Προσχώρηση στο Σύμφωνο:</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Όλοι οι ενδιαφερόμενοι παράγοντες που προσχωρούν στο Σύμφωνο θα προσυπογράψουν έναν Χάρτη και τις βασικές αρχές του, τις οποίες συμφωνούν να τηρούν και να εφαρμόζουν.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Οι υπογράφοντες καλούνται να βάλουν σε πράξη το Σύμφωνο αναλαμβάνοντας συγκεκριμένες δεσμεύσεις όσον αφορά την αναβάθμιση των δεξιοτήτων και την επανειδίκευση. Οι δεσμεύσεις πρέπει να συνάδουν με τις βασικές αρχές και μπορούν να εδράζονται σε μια σειρά από καταλυτικούς παράγοντες που θα αποτυπώνουν συγκεκριμένους τρόπους εφαρμογής των διαφόρων αρχών.</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 xml:space="preserve">Οι δεσμεύσεις θα αποτελούν αντικείμενο παρακολούθησης με τη βοήθεια τουλάχιστον ενός βασικού δείκτη επιδόσεων π.χ. αριθμός των ατόμων που λαμβάνουν μέρος σε πρόγραμμα αναβάθμισης των δεξιοτήτων ή </w:t>
      </w:r>
      <w:proofErr w:type="spellStart"/>
      <w:r>
        <w:rPr>
          <w:rFonts w:ascii="EC Square Sans Pro" w:hAnsi="EC Square Sans Pro"/>
          <w:sz w:val="22"/>
          <w:szCs w:val="22"/>
        </w:rPr>
        <w:t>επανειδίκευσής</w:t>
      </w:r>
      <w:proofErr w:type="spellEnd"/>
      <w:r>
        <w:rPr>
          <w:rFonts w:ascii="EC Square Sans Pro" w:hAnsi="EC Square Sans Pro"/>
          <w:sz w:val="22"/>
          <w:szCs w:val="22"/>
        </w:rPr>
        <w:t xml:space="preserve"> τους.</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xml:space="preserve"> </w:t>
      </w:r>
      <w:r>
        <w:rPr>
          <w:rFonts w:ascii="EC Square Sans Pro" w:hAnsi="EC Square Sans Pro"/>
          <w:b/>
          <w:sz w:val="22"/>
          <w:szCs w:val="22"/>
        </w:rPr>
        <w:t>Βασικές αρχές του Χάρτη:</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Προώθηση της κουλτούρας της διά βίου μάθησης για όλους</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lastRenderedPageBreak/>
        <w:t>Οικοδόμηση ισχυρών εταιρικών σχέσεων δεξιοτήτων</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Παρακολούθηση της προσφοράς/ζήτησης δεξιοτήτων και πρόβλεψη των αναγκών σε δεξιότητες</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Εξάλειψη των διακρίσεων και προώθηση της ισότητας των φύλων και των ίσων ευκαιριών</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Το Σύμφωνο μπορούν να εφαρμόσουν:</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Εταιρείες ή άλλοι ιδιωτικοί ή δημόσιοι φορείς</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Περιφερειακές ή τοπικές εταιρικές σχέσεις</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Βιομηχανικές ή διατομεακές εταιρικές σχέσεις</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Στήριξη στο πλαίσιο του Συμφώνου:</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Από το 2021 η Επιτροπή θα στηρίξει τους υπογράφοντες μέσω ειδικών υπηρεσιών:</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bCs/>
          <w:sz w:val="22"/>
          <w:szCs w:val="22"/>
        </w:rPr>
        <w:t>Κόμβος δικτύωσης</w:t>
      </w:r>
      <w:r>
        <w:rPr>
          <w:rFonts w:ascii="EC Square Sans Pro" w:hAnsi="EC Square Sans Pro"/>
          <w:bCs/>
          <w:sz w:val="22"/>
          <w:szCs w:val="22"/>
        </w:rPr>
        <w:t>, που θα περιλαμβάνει: παροχή στήριξης για την εξεύρεση εταίρων και τη διοργάνωση των αρχικών συνεδριάσεων των εταιρικών σχέσεων· σύνδεση με τα υπάρχοντα εργαλεία της ΕΕ π.χ. Europass, Πανόραμα δεξιοτήτων, EURES και Δίκτυο Δημόσιων Υπηρεσιών Απασχόλησης·  προώθηση των δραστηριοτήτων των μελών του Συμφώνου.</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bCs/>
          <w:sz w:val="22"/>
          <w:szCs w:val="22"/>
        </w:rPr>
        <w:t>Κόμβος γνώσης</w:t>
      </w:r>
      <w:r>
        <w:rPr>
          <w:rFonts w:ascii="EC Square Sans Pro" w:hAnsi="EC Square Sans Pro"/>
          <w:bCs/>
          <w:sz w:val="22"/>
          <w:szCs w:val="22"/>
        </w:rPr>
        <w:t>, που θα περιλαμβάνει: διοργάνωση συμβατικών και διαδικτυακών σεμιναρίων και δραστηριοτήτων εκμάθησης από ομοτίμους· ενημερώσεις σχετικά με τις πολιτικές και τα μέσα της Ένωσης· ενημέρωση σχετικά με έργα, εργαλεία, μέσα και βέλτιστες πρακτικές</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Κόμβος καθοδήγησης και πόρων</w:t>
      </w:r>
      <w:r>
        <w:rPr>
          <w:rFonts w:ascii="EC Square Sans Pro" w:hAnsi="EC Square Sans Pro"/>
          <w:bCs/>
          <w:sz w:val="22"/>
          <w:szCs w:val="22"/>
        </w:rPr>
        <w:t>, που θα περιλαμβάνει: πρόσβαση σε πληροφορίες σχετικά με τη χρηματοδότηση της ΕΕ· καθοδήγηση για τον εντοπισμό χρηματοδοτικών δυνατότητων· διευκόλυνση των ανταλλαγών μεταξύ των μελών του Συμφώνου και των εθνικών/περιφερειακών αρχών.</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Τα συνολικά μέσα χρηματοδότησης της ΕΕ, και συγκεκριμένα ο Μηχανισμός Ανάκαμψης και Ανθεκτικότητας και τα σχετικά χρηματοδοτικά μέσα βάσει του πολυετούς δημοσιονομικού πλαισίου</w:t>
      </w:r>
      <w:r>
        <w:t xml:space="preserve"> </w:t>
      </w:r>
      <w:r>
        <w:rPr>
          <w:rFonts w:ascii="EC Square Sans Pro" w:hAnsi="EC Square Sans Pro"/>
          <w:bCs/>
          <w:sz w:val="22"/>
          <w:szCs w:val="22"/>
        </w:rPr>
        <w:t>2021-2027</w:t>
      </w:r>
      <w:r>
        <w:rPr>
          <w:rStyle w:val="FootnoteReference"/>
          <w:rFonts w:ascii="EC Square Sans Pro" w:hAnsi="EC Square Sans Pro" w:cs="Calibri"/>
          <w:bCs/>
          <w:sz w:val="22"/>
          <w:szCs w:val="22"/>
        </w:rPr>
        <w:footnoteReference w:id="2"/>
      </w:r>
      <w:r>
        <w:rPr>
          <w:rFonts w:ascii="EC Square Sans Pro" w:hAnsi="EC Square Sans Pro"/>
          <w:bCs/>
          <w:sz w:val="22"/>
          <w:szCs w:val="22"/>
        </w:rPr>
        <w:t>, μπορούν να στηρίξουν το Σύμφωνο και θα πρέπει να αξιοποιηθούν πλήρως.</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ΧΑΡΤΗΣ</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ΠΡΟΟΙΜΙΟ</w:t>
      </w:r>
    </w:p>
    <w:p w14:paraId="1E55824E" w14:textId="2680106D" w:rsidR="001A1133" w:rsidRDefault="001A1133"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Έχοντας υπόψη των </w:t>
      </w:r>
      <w:r>
        <w:rPr>
          <w:rFonts w:ascii="EC Square Sans Pro" w:hAnsi="EC Square Sans Pro"/>
          <w:b/>
          <w:bCs/>
          <w:sz w:val="22"/>
          <w:szCs w:val="22"/>
        </w:rPr>
        <w:t>Ευρωπαϊκό Πυλώνα Κοινωνικών Δικαιωμάτων</w:t>
      </w:r>
      <w:r>
        <w:rPr>
          <w:rFonts w:ascii="EC Square Sans Pro" w:hAnsi="EC Square Sans Pro"/>
          <w:sz w:val="22"/>
          <w:szCs w:val="22"/>
        </w:rPr>
        <w:t>, που αποτελεί την πυξίδα της ΕΕ για μια κοινωνική και χωρίς αποκλεισμούς ανάκαμψη, καθώς και για δίκαιες μεταβάσεις προς την κλιματική ουδετερότητα και την ψηφιακή Ευρώπη·</w:t>
      </w:r>
      <w:bookmarkStart w:id="0" w:name="_GoBack"/>
    </w:p>
    <w:bookmarkEnd w:id="0"/>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Αναγνωρίζοντας ότι η </w:t>
      </w:r>
      <w:r>
        <w:rPr>
          <w:rFonts w:ascii="EC Square Sans Pro" w:hAnsi="EC Square Sans Pro"/>
          <w:b/>
          <w:bCs/>
          <w:sz w:val="22"/>
          <w:szCs w:val="22"/>
        </w:rPr>
        <w:t>ψηφιακή οικονομία</w:t>
      </w:r>
      <w:r>
        <w:rPr>
          <w:rFonts w:ascii="EC Square Sans Pro" w:hAnsi="EC Square Sans Pro"/>
          <w:sz w:val="22"/>
          <w:szCs w:val="22"/>
        </w:rPr>
        <w:t xml:space="preserve"> του σήμερα και του αύριο πρέπει να έχει στο επίκεντρό της τον άνθρωπο·</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Υπενθυμίζοντας ότι η </w:t>
      </w:r>
      <w:r>
        <w:rPr>
          <w:rFonts w:ascii="EC Square Sans Pro" w:hAnsi="EC Square Sans Pro"/>
          <w:b/>
          <w:bCs/>
          <w:sz w:val="22"/>
          <w:szCs w:val="22"/>
        </w:rPr>
        <w:t>Ευρωπαϊκή Πράσινη Συμφωνία</w:t>
      </w:r>
      <w:r>
        <w:rPr>
          <w:rFonts w:ascii="EC Square Sans Pro" w:hAnsi="EC Square Sans Pro"/>
          <w:sz w:val="22"/>
          <w:szCs w:val="22"/>
        </w:rPr>
        <w:t xml:space="preserve"> αντανακλά τη φιλοδοξία της Ευρώπης να γίνει η πρώτη κλιματικά ουδέτερη ήπειρος έως το 2050·</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Υποστηρίζοντας τις </w:t>
      </w:r>
      <w:r>
        <w:rPr>
          <w:rFonts w:ascii="EC Square Sans Pro" w:hAnsi="EC Square Sans Pro"/>
          <w:b/>
          <w:bCs/>
          <w:sz w:val="22"/>
          <w:szCs w:val="22"/>
        </w:rPr>
        <w:t>στρατηγικές για τη βιομηχανία και τις ΜΜΕ</w:t>
      </w:r>
      <w:r>
        <w:rPr>
          <w:rFonts w:ascii="EC Square Sans Pro" w:hAnsi="EC Square Sans Pro"/>
          <w:sz w:val="22"/>
          <w:szCs w:val="22"/>
        </w:rPr>
        <w:t xml:space="preserve"> με ισχυρά θεμέλια στην ενιαία αγορά, οι οποίες θα επιτρέψουν στις επιχειρήσεις να καινοτομούν και να αναπτύσσουν νέες τεχνολογίες, προωθώντας την κυκλικότητα και δημιουργώντας νέες αγορές·</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Πιστεύοντας ακράδαντα ότι οι δεξιότητες είναι καίριας σημασίας τόσο για τα άτομα όσο και για τις επιχειρήσεις ώστε να αποδεσμεύσουν ευκαιρίες για περισσότερες και καλύτερες θέσεις εργασίας, καθώς και για την ανάπτυξη και την ανταγωνιστικότητα, όπως ορίζονται στο </w:t>
      </w:r>
      <w:r>
        <w:rPr>
          <w:rFonts w:ascii="EC Square Sans Pro" w:hAnsi="EC Square Sans Pro"/>
          <w:b/>
          <w:bCs/>
          <w:sz w:val="22"/>
          <w:szCs w:val="22"/>
        </w:rPr>
        <w:t>ευρωπαϊκό θεματολόγιο δεξιοτήτων</w:t>
      </w:r>
      <w:r>
        <w:rPr>
          <w:rFonts w:ascii="EC Square Sans Pro" w:hAnsi="EC Square Sans Pro"/>
          <w:sz w:val="22"/>
          <w:szCs w:val="22"/>
        </w:rPr>
        <w:t xml:space="preserve"> για βιώσιμη ανταγωνιστικότητα, κοινωνική δικαιοσύνη και ανθεκτικότητα·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Κατανοώντας τον σημαντικό ρόλο που παίζουν οι επιχειρήσεις και οι κοινωνικοί εταίροι όσον αφορά τον προσδιορισμό των αναγκών σε δεξιότητες και την παροχή στήριξης για την ανάπτυξη των σχετικών δεξιοτήτων·</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Τονίζοντας τη σημασία που παίζει ο κοινωνικός διάλογος για την επιτυχή αναβάθμιση των δεξιοτήτων και την επανειδίκευση στην Ευρώπη, καθώς και ο πλήρης σεβασμός των εθνικών συστημάτων, ο ρόλος των κοινωνικών εταίρων και των συλλογικών συμφωνιών·</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Υπογραμμίζοντας τα οφέλη της συνεργασίας και της ανταλλαγής μεταξύ εταιρειών, εργαζομένων και περιφερειακών και τοπικών αρχών·</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Αναγνωρίζοντας ότι η πανδημία της COVID-19 έχει επηρεάσει σοβαρά τις κοινωνίες και τις οικονομίες μας, κάτι που καταδεικνύει τη σημασία που έχει η αλληλεγγύη της ΕΕ και η ανάληψη ταχείας δράσης προς μια δίκαιη και ανθεκτική ανάκαμψη·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bCs/>
          <w:sz w:val="22"/>
          <w:szCs w:val="22"/>
        </w:rPr>
        <w:t>Χαιρετίζουμε το Σύμφωνο για τις Δεξιότητες</w:t>
      </w:r>
      <w:r>
        <w:rPr>
          <w:rFonts w:ascii="EC Square Sans Pro" w:hAnsi="EC Square Sans Pro"/>
          <w:sz w:val="22"/>
          <w:szCs w:val="22"/>
        </w:rPr>
        <w:t xml:space="preserve">, που δρομολόγησε η Ευρωπαϊκή Επιτροπή με σκοπό να κινητοποιήσει τις συντονισμένες προσπάθειες ιδιωτικών και δημόσιων εταίρων ώστε να γίνουν ποιοτικές επενδύσεις στις δεξιότητες για όλα τα άτομα σε ηλικία εργασίας στο σύνολο της Ένωσης, </w:t>
      </w:r>
      <w:r>
        <w:rPr>
          <w:rFonts w:ascii="EC Square Sans Pro" w:hAnsi="EC Square Sans Pro"/>
          <w:b/>
          <w:bCs/>
          <w:sz w:val="22"/>
          <w:szCs w:val="22"/>
        </w:rPr>
        <w:t>και δεσμευόμαστε να τηρούμε και να εφαρμόζουμε τις ακόλουθες αρχές</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Προώθηση της κουλτούρας της διά βίου μάθησης για όλους</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Οικοδόμηση ισχυρών εταιρικών σχέσεων δεξιοτήτων</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Παρακολούθηση της προσφοράς/ζήτησης δεξιοτήτων και πρόβλεψη των αναγκών σε δεξιότητες</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Εξάλειψη των διακρίσεων και προώθηση της ισότητας των φύλων και των ίσων ευκαιριών</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Κατάλογος υπογραφόντων</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ΟΙΚΟΔΟΜΗΣΗ ΙΣΧΥΡΩΝ ΔΕΣΜΕΥΣΕΩΝ</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Πέρα από τον σεβασμό και την τήρηση των βασικών αρχών, οι υπογράφοντες το Σύμφωνο για τις Δεξιότητες ενθαρρύνονται ένθερμα να προτείνουν συγκεκριμένες δεσμεύσεις για την εφαρμογή δράσεων αναβάθμισης των δεξιοτήτων ή </w:t>
      </w:r>
      <w:proofErr w:type="spellStart"/>
      <w:r>
        <w:rPr>
          <w:rFonts w:ascii="EC Square Sans Pro" w:hAnsi="EC Square Sans Pro"/>
          <w:sz w:val="22"/>
          <w:szCs w:val="22"/>
        </w:rPr>
        <w:t>επανειδίκευσης</w:t>
      </w:r>
      <w:proofErr w:type="spellEnd"/>
      <w:r>
        <w:rPr>
          <w:rFonts w:ascii="EC Square Sans Pro" w:hAnsi="EC Square Sans Pro"/>
          <w:sz w:val="22"/>
          <w:szCs w:val="22"/>
        </w:rPr>
        <w:t xml:space="preserve">, έτσι ώστε να υλοποιηθούν οι βασικές αρχές του Συμφώνου. Αυτό μπορεί να γίνει με διάφορους τρόπους, ανάλογα με το πλαίσιο, το βιομηχανικό οικοσύστημα και τον τύπο των εμπλεκόμενων φορέων, είτε πρόκειται για ιδιωτικές επιχειρήσεις είτε για οργανισμούς ή εταιρικές σχέσεις.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Ακολουθεί ενδεικτικός, μη εξαντλητικός κατάλογος καταλυτικών παραγόντων που μπορούν να στηρίξουν την ανάληψη συγκεκριμένων δεσμεύσεων. Οι οργανισμοί ή οι εταιρικές σχέσεις, όταν προτείνουν μια δέσμευση, συνοδευόμενη από συγκεκριμένη/-</w:t>
      </w:r>
      <w:proofErr w:type="spellStart"/>
      <w:r>
        <w:rPr>
          <w:rFonts w:ascii="EC Square Sans Pro" w:hAnsi="EC Square Sans Pro"/>
          <w:sz w:val="22"/>
          <w:szCs w:val="22"/>
        </w:rPr>
        <w:t>ες</w:t>
      </w:r>
      <w:proofErr w:type="spellEnd"/>
      <w:r>
        <w:rPr>
          <w:rFonts w:ascii="EC Square Sans Pro" w:hAnsi="EC Square Sans Pro"/>
          <w:sz w:val="22"/>
          <w:szCs w:val="22"/>
        </w:rPr>
        <w:t xml:space="preserve"> δράση/-εις αναβάθμισης των δεξιοτήτων και </w:t>
      </w:r>
      <w:proofErr w:type="spellStart"/>
      <w:r>
        <w:rPr>
          <w:rFonts w:ascii="EC Square Sans Pro" w:hAnsi="EC Square Sans Pro"/>
          <w:sz w:val="22"/>
          <w:szCs w:val="22"/>
        </w:rPr>
        <w:t>επανειδίκευσης</w:t>
      </w:r>
      <w:proofErr w:type="spellEnd"/>
      <w:r>
        <w:rPr>
          <w:rFonts w:ascii="EC Square Sans Pro" w:hAnsi="EC Square Sans Pro"/>
          <w:sz w:val="22"/>
          <w:szCs w:val="22"/>
        </w:rPr>
        <w:t xml:space="preserve">, θα πρέπει να επιλέγουν τους κατάλληλους καταλυτικούς παράγοντες και να τους προσαρμόζουν ή να τους ενσωματώνουν δεόντως, ώστε να ανταποκρίνονται στο περιεχόμενο της δέσμευσής τους. Θα πρέπει επίσης να αναφέρουν τουλάχιστον έναν βασικό δείκτη επιδόσεων ώστε να παρακολουθούν τη δέσμευσή τους, για παράδειγμα τον αριθμό των ατόμων που συμμετέχουν σε δράσεις αναβάθμισης των δεξιοτήτων ή </w:t>
      </w:r>
      <w:proofErr w:type="spellStart"/>
      <w:r>
        <w:rPr>
          <w:rFonts w:ascii="EC Square Sans Pro" w:hAnsi="EC Square Sans Pro"/>
          <w:sz w:val="22"/>
          <w:szCs w:val="22"/>
        </w:rPr>
        <w:t>επανειδίκευσης</w:t>
      </w:r>
      <w:proofErr w:type="spellEnd"/>
      <w:r>
        <w:rPr>
          <w:rFonts w:ascii="EC Square Sans Pro" w:hAnsi="EC Square Sans Pro"/>
          <w:sz w:val="22"/>
          <w:szCs w:val="22"/>
        </w:rPr>
        <w:t>.</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Προώθηση της κουλτούρας της διά βίου μάθησης για όλους</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Ένας φορέας προωθεί τις δεξιότητες του προσωπικού του, καθώς αυτές είναι απαραίτητες για την επιτυχή λειτουργία του.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Η αξία και τα οφέλη της αναβάθμισης των δεξιοτήτων και της </w:t>
      </w:r>
      <w:proofErr w:type="spellStart"/>
      <w:r>
        <w:rPr>
          <w:rFonts w:ascii="EC Square Sans Pro" w:hAnsi="EC Square Sans Pro"/>
          <w:sz w:val="22"/>
          <w:szCs w:val="22"/>
        </w:rPr>
        <w:t>επανειδίκευσης</w:t>
      </w:r>
      <w:proofErr w:type="spellEnd"/>
      <w:r>
        <w:rPr>
          <w:rFonts w:ascii="EC Square Sans Pro" w:hAnsi="EC Square Sans Pro"/>
          <w:sz w:val="22"/>
          <w:szCs w:val="22"/>
        </w:rPr>
        <w:t xml:space="preserve"> επισημαίνονται στους εργοδότες και στους εργαζομένους. Ενθαρρύνονται να βελτιώνουν συνεχώς τις γνώσεις και τις δεξιότητές τους. </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Οι σχετικές δράσεις σχεδιάζονται για και σε συνεργασία με τους εργαζομένους και υποστηρίζονται από όλα τα διευθυντικά επίπεδα.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Οι ενδιαφερόμενοι μπορούν να λαμβάνουν καθοδήγηση και στήριξη σχετικά με την εξέλιξη της επαγγελματικής τους σταδιοδρομίας. </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Διατίθενται οι κατάλληλοι χρηματοδοτικοί πόροι.</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Γίνεται τακτική παρακολούθηση και αξιολόγηση της ποιότητας.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Ιδιαίτερη προσοχή δίνεται στην αναβάθμιση των δεξιοτήτων και στην επανειδίκευση των </w:t>
      </w:r>
      <w:proofErr w:type="spellStart"/>
      <w:r>
        <w:rPr>
          <w:rFonts w:ascii="EC Square Sans Pro" w:hAnsi="EC Square Sans Pro"/>
          <w:sz w:val="22"/>
          <w:szCs w:val="22"/>
        </w:rPr>
        <w:t>μειονεκτουσών</w:t>
      </w:r>
      <w:proofErr w:type="spellEnd"/>
      <w:r>
        <w:rPr>
          <w:rFonts w:ascii="EC Square Sans Pro" w:hAnsi="EC Square Sans Pro"/>
          <w:sz w:val="22"/>
          <w:szCs w:val="22"/>
        </w:rPr>
        <w:t xml:space="preserve"> ομάδων, όπως είναι οι ηλικιωμένοι εργαζόμενοι και οι ενήλικοι που δυσκολεύονται να αποκτήσουν βασικές δεξιότητες.</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Παρέχεται στήριξη για τα διευθυντικά στελέχη και τα μέλη του προσωπικού ώστε να μάθουν πώς να υπερβαίνουν τα εμπόδια που συνεπάγονται η έλλειψη χρόνου, κονδυλίων ή πληροφοριών σχετικά με ευκαιρίες αναβάθμισης δεξιοτήτων ή </w:t>
      </w:r>
      <w:proofErr w:type="spellStart"/>
      <w:r>
        <w:rPr>
          <w:rFonts w:ascii="EC Square Sans Pro" w:hAnsi="EC Square Sans Pro"/>
          <w:sz w:val="22"/>
          <w:szCs w:val="22"/>
        </w:rPr>
        <w:t>επανειδίκευσης</w:t>
      </w:r>
      <w:proofErr w:type="spellEnd"/>
      <w:r>
        <w:rPr>
          <w:rFonts w:ascii="EC Square Sans Pro" w:hAnsi="EC Square Sans Pro"/>
          <w:sz w:val="22"/>
          <w:szCs w:val="22"/>
        </w:rPr>
        <w:t>.</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Παρέχονται κίνητρα οικονομικά και μη στις εταιρείες ώστε να προσφέρουν αναβάθμιση δεξιοτήτων και επανειδίκευση σε εργοδότες και προσωπικό.</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Διατίθεται ειδική στήριξη (π.χ. εργαλεία, υπηρεσίες και χρηματοδότηση) σε πολύ μικρές, μικρές ή μεσαίες επιχειρήσεις για τη δημιουργία και τη διατήρηση μαθησιακής </w:t>
      </w:r>
      <w:r>
        <w:rPr>
          <w:rFonts w:ascii="EC Square Sans Pro" w:hAnsi="EC Square Sans Pro"/>
          <w:sz w:val="22"/>
          <w:szCs w:val="22"/>
        </w:rPr>
        <w:lastRenderedPageBreak/>
        <w:t>κουλτούρας στον οργανισμό τόσο για τα διευθυντικά στελέχη όσο για τα μέλη του προσωπικού.</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Οικοδόμηση ισχυρών εταιρικών σχέσεων δεξιοτήτων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Εμπλέκεται ευρύ φάσμα ενδιαφερόμενων παραγόντων και συγκεκριμένα κοινωνικοί εταίροι, φορείς παροχής κατάρτισης, δημόσιες αρχές, ερευνητές, κρατικές ή ιδιωτικές υπηρεσίες απασχόλησης, εμπορικά επιμελητήρια και άλλοι ενδιάμεσοι φορείς, καθώς και κλαδικές οργανώσεις.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Οι εταιρικές σχέσεις σε ένα βιομηχανικό οικοσύστημα είναι ανοικτές σε όλους τους ενδιαφερόμενους φορείς με σκοπό τον συγκερασμό εμπειρογνωμοσύνης και πόρων για την υλοποίηση συγκεκριμένων δράσεων, έτσι ώστε οι εργαζόμενοι να μπορέσουν να διατηρήσουν ή να αλλάξουν θέση εργασίας, καθώς και να βρουν νέα.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Η εταιρική σχέση συνεργάζεται σε ευρωπαϊκό, εθνικό, περιφερειακό ή τοπικό επίπεδο, ανάλογα με την περίπτωση.</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Οι συναφείς εταιρικές σχέσεις σε τομείς / βιομηχανικά οικοσυστήματα υποστηρίζουν τη </w:t>
      </w:r>
      <w:proofErr w:type="spellStart"/>
      <w:r>
        <w:rPr>
          <w:rFonts w:ascii="EC Square Sans Pro" w:hAnsi="EC Square Sans Pro"/>
          <w:sz w:val="22"/>
          <w:szCs w:val="22"/>
        </w:rPr>
        <w:t>διατομεακή</w:t>
      </w:r>
      <w:proofErr w:type="spellEnd"/>
      <w:r>
        <w:rPr>
          <w:rFonts w:ascii="EC Square Sans Pro" w:hAnsi="EC Square Sans Pro"/>
          <w:sz w:val="22"/>
          <w:szCs w:val="22"/>
        </w:rPr>
        <w:t xml:space="preserve"> συνεργασία.</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Διασφαλίζεται η συνυπευθυνότητα και ο προορατικός ρόλος του κάθε εταίρου.</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Τα μέλη της εταιρικής σχέσης διατηρούν ανοιχτό διάλογο και ανταλλάσσουν τις γνώσεις τους προκειμένου να διασφαλίζουν την υψηλή ποιότητα της προσφοράς κατάρτισης, και συγκεκριμένα της ποιότητας των εκπαιδευτών/διδασκόντων και των προγραμμάτων κατάρτισης.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Η εταιρική σχέση βασίζει τη δράση της σε δοκιμασμένα εργαλεία, αλλά παράλληλα αναπτύσσει και καινοτόμες λύσεις.</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Παρακολούθηση της προσφοράς/ζήτησης δεξιοτήτων και πρόβλεψη των αναγκών σε δεξιότητες</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Η ζήτηση και η προσφορά δεξιοτήτων (σχετικών με την εργασία και εγκάρσιων) αποτελούν αντικείμενο τακτικής παρακολούθησης και οι ανάγκες σε δεξιότητες κοινοποιούνται με σαφήνεια στον καθένα.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Κατά την πρόβλεψη των δεξιοτήτων λαμβάνονται υπόψη η ανάγκη στήριξης της ψηφιακής και της πράσινης μετάβασης καθώς και οι συνέπειες των δημογραφικών αλλαγών.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Η παρακολούθηση της ζήτησης και της προσφοράς δεξιοτήτων εξετάζει τις ανάγκες σε δεξιότητες όσον αφορά το εργατικό δυναμικό και τις επιχειρήσεις σε περιφερειακό, εθνικό και ευρωπαϊκό επίπεδο.</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Η πρόβλεψη των δεξιοτήτων ενσωματώνει τις ταχείες αλλαγές στην αγορά εργασίας και παρέχει κατάλληλη και έγκαιρη ενημέρωση σχετικά με τις ανάγκες σε δεξιότητες.</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Η πρόβλεψη των δεξιοτήτων λαμβάνει υπόψη τις περιφερειακές, εθνικές και ευρωπαϊκές εξελίξεις.</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Ο μηχανισμός παρακολούθησης περιλαμβάνει όχι μόνο τις ανάγκες σε δεξιότητες που συνδέονται με τις θέσεις εργασίας, αλλά και τις εγκάρσιες και βασικές δεξιότητες.</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lastRenderedPageBreak/>
        <w:t>Η ανάληψη δράσης υπακούει στις ανάγκες σε δεξιότητες που έχουν εντοπιστεί με βάση τις ικανότητες που συνδέονται με τις θέσεις εργασίας όσο και γενικότερες ικανότητες.</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Εξάλειψη των διακρίσεων και προώθηση της ισότητας των φύλων και των ίσων ευκαιριών</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Οι ίσες ευκαιρίες προωθούνται ενεργά μέσω της δράσης, ανεξάρτητα από το φύλο, τη φυλετική ή εθνοτική καταγωγή, τη θρησκεία ή τις πεποιθήσεις, την αναπηρία, την ηλικία ή τον σεξουαλικό προσανατολισμό.</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Οι σχετικές δράσεις επιτρέπουν στον καθένα στον πληθυσμό-στόχο να αποκτήσει πρόσβαση σε υψηλής ποιότητας ευκαιρίες για την αναβάθμιση των δεξιοτήτων ή </w:t>
      </w:r>
      <w:proofErr w:type="spellStart"/>
      <w:r>
        <w:rPr>
          <w:rFonts w:ascii="EC Square Sans Pro" w:hAnsi="EC Square Sans Pro"/>
          <w:sz w:val="22"/>
          <w:szCs w:val="22"/>
        </w:rPr>
        <w:t>επανειδίκευσής</w:t>
      </w:r>
      <w:proofErr w:type="spellEnd"/>
      <w:r>
        <w:rPr>
          <w:rFonts w:ascii="EC Square Sans Pro" w:hAnsi="EC Square Sans Pro"/>
          <w:sz w:val="22"/>
          <w:szCs w:val="22"/>
        </w:rPr>
        <w:t xml:space="preserve"> του, ανεξάρτητα από το φύλο, τη φυλετική ή εθνοτική καταγωγή, τη θρησκεία ή τις πεποιθήσεις, την αναπηρία, την ηλικία</w:t>
      </w:r>
      <w:r>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ή τον σεξουαλικό προσανατολισμό του.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Η επικύρωση και αναγνώριση των δεξιοτήτων που αποκτήθηκαν (συμπεριλαμβανομένων των </w:t>
      </w:r>
      <w:proofErr w:type="spellStart"/>
      <w:r>
        <w:rPr>
          <w:rFonts w:ascii="EC Square Sans Pro" w:hAnsi="EC Square Sans Pro"/>
          <w:sz w:val="22"/>
          <w:szCs w:val="22"/>
        </w:rPr>
        <w:t>μικροδιαπιστευτηρίων</w:t>
      </w:r>
      <w:proofErr w:type="spellEnd"/>
      <w:r>
        <w:rPr>
          <w:rFonts w:ascii="EC Square Sans Pro" w:hAnsi="EC Square Sans Pro"/>
          <w:sz w:val="22"/>
          <w:szCs w:val="22"/>
        </w:rPr>
        <w:t>) ενσωματώνονται στη δράση.</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Λαμβάνονται υπόψη οι ανάγκες και οι ικανότητες των ατόμων, συμπεριλαμβανομένων των προσωπικών και επαγγελματικών τους αναγκών (π.χ. αλλαγή στη μέση της σταδιοδρομίας)·</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Η δράση είναι ευέλικτη, διαρθρωμένη σε ενότητες και, όπου αυτό είναι δυνατόν, παρέχεται μέσω εργαλείων (συμπεριλαμβανομένων των ψηφιακών εργαλείων) που διασφαλίζουν την πρόσβαση σε όλα τα άτομα σε ηλικία εργασίας.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altName w:val="Bahnschrift Light"/>
    <w:panose1 w:val="020B0506040000020004"/>
    <w:charset w:val="00"/>
    <w:family w:val="swiss"/>
    <w:pitch w:val="variable"/>
    <w:sig w:usb0="00000001"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 xml:space="preserve">Όπως το Ευρωπαϊκό Κοινωνικό Ταμείο+, το REACT-EU, το Ταμείο Δίκαιης Μετάβασης, το Erasmus+, το πρόγραμμα «Ορίζων Ευρώπη», το πρόγραμμα «Ψηφιακή Ευρώπη», το Ευρωπαϊκό Ταμείο Περιφερειακής Ανάπτυξης, το </w:t>
      </w:r>
      <w:proofErr w:type="spellStart"/>
      <w:r>
        <w:t>InvestEU</w:t>
      </w:r>
      <w:proofErr w:type="spellEnd"/>
      <w:r>
        <w:t xml:space="preserve"> και το Ταμείο Εκσυγχρονισμού.</w:t>
      </w:r>
    </w:p>
  </w:footnote>
  <w:footnote w:id="3">
    <w:p w14:paraId="0A32517E" w14:textId="16C3F6B3" w:rsidR="00774040" w:rsidRDefault="00774040">
      <w:pPr>
        <w:pStyle w:val="FootnoteText"/>
      </w:pPr>
      <w:r>
        <w:rPr>
          <w:rStyle w:val="FootnoteReference"/>
        </w:rPr>
        <w:footnoteRef/>
      </w:r>
      <w:r>
        <w:t xml:space="preserve"> </w:t>
      </w:r>
      <w:r>
        <w:tab/>
      </w:r>
      <w:r>
        <w:t xml:space="preserve">Εκτός εάν επιβάλλεται από τη φύση της δράσης, π.χ. πρωτοβουλίες αναβάθμισης των δεξιοτήτων και </w:t>
      </w:r>
      <w:proofErr w:type="spellStart"/>
      <w:r>
        <w:t>επανειδίκευσης</w:t>
      </w:r>
      <w:proofErr w:type="spellEnd"/>
      <w:r>
        <w:t xml:space="preserve"> που στοχεύουν στους εργαζομένους μεγαλύτερης ηλικίας ή σε νεότερους εργαζομένους.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026C7"/>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l-GR"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el-GR"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7439C7-0ADE-46A5-8A6C-D27287D3D8C3}">
  <ds:schemaRefs>
    <ds:schemaRef ds:uri="http://schemas.openxmlformats.org/officeDocument/2006/bibliography"/>
  </ds:schemaRefs>
</ds:datastoreItem>
</file>

<file path=customXml/itemProps2.xml><?xml version="1.0" encoding="utf-8"?>
<ds:datastoreItem xmlns:ds="http://schemas.openxmlformats.org/officeDocument/2006/customXml" ds:itemID="{A7B27591-C1FC-4F39-BAD8-CBD35561456B}"/>
</file>

<file path=customXml/itemProps3.xml><?xml version="1.0" encoding="utf-8"?>
<ds:datastoreItem xmlns:ds="http://schemas.openxmlformats.org/officeDocument/2006/customXml" ds:itemID="{5A35D318-5E7C-46DB-8816-5CEB34464D85}"/>
</file>

<file path=customXml/itemProps4.xml><?xml version="1.0" encoding="utf-8"?>
<ds:datastoreItem xmlns:ds="http://schemas.openxmlformats.org/officeDocument/2006/customXml" ds:itemID="{B47DE55A-84BF-4B93-89F9-575C36F853BA}"/>
</file>

<file path=docProps/app.xml><?xml version="1.0" encoding="utf-8"?>
<Properties xmlns="http://schemas.openxmlformats.org/officeDocument/2006/extended-properties" xmlns:vt="http://schemas.openxmlformats.org/officeDocument/2006/docPropsVTypes">
  <Template>Normal</Template>
  <TotalTime>0</TotalTime>
  <Pages>7</Pages>
  <Words>1788</Words>
  <Characters>11194</Characters>
  <Application>Microsoft Office Word</Application>
  <DocSecurity>0</DocSecurity>
  <Lines>215</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2021-02-10T20:54:00Z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