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b/>
          <w:sz w:val="28"/>
          <w:szCs w:val="28"/>
          <w14:ligatures w14:val="none"/>
          <w:rFonts w:ascii="EC Square Sans Pro" w:hAnsi="EC Square Sans Pro"/>
        </w:rPr>
      </w:pPr>
      <w:r>
        <w:rPr>
          <w:b/>
          <w:sz w:val="28"/>
          <w:szCs w:val="28"/>
          <w:rFonts w:ascii="EC Square Sans Pro" w:hAnsi="EC Square Sans Pro"/>
        </w:rPr>
        <w:t xml:space="preserve">KÉSZSÉGFEJLESZTÉSI PAKTUM</w:t>
      </w:r>
      <w:r>
        <w:rPr>
          <w:b/>
          <w:sz w:val="28"/>
          <w:szCs w:val="28"/>
          <w:rFonts w:ascii="EC Square Sans Pro" w:hAnsi="EC Square Sans Pro"/>
        </w:rPr>
        <w:t xml:space="preserve">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14:ligatures w14:val="none"/>
          <w:rFonts w:ascii="EC Square Sans Pro" w:hAnsi="EC Square Sans Pro"/>
        </w:rPr>
      </w:pPr>
      <w:r>
        <w:rPr>
          <w:rFonts w:ascii="EC Square Sans Pro" w:hAnsi="EC Square Sans Pro"/>
        </w:rPr>
        <w:t xml:space="preserve">Kiváló lehetőség rejlik az együttes fellépés ösztönzésében arra, hogy maximalizáljuk a készségfejlesztési beruházások hatását.</w:t>
      </w:r>
      <w:r>
        <w:rPr>
          <w:rFonts w:ascii="EC Square Sans Pro" w:hAnsi="EC Square Sans Pro"/>
        </w:rPr>
        <w:t xml:space="preserve"> </w:t>
      </w:r>
      <w:r>
        <w:rPr>
          <w:rFonts w:ascii="EC Square Sans Pro" w:hAnsi="EC Square Sans Pro"/>
        </w:rPr>
        <w:t xml:space="preserve">A készségekkel kapcsolatos szakpolitikákkal és fellépésekkel számos szereplő foglalkozik.</w:t>
      </w:r>
      <w:r>
        <w:rPr>
          <w:rFonts w:ascii="EC Square Sans Pro" w:hAnsi="EC Square Sans Pro"/>
        </w:rPr>
        <w:t xml:space="preserve"> </w:t>
      </w:r>
      <w:r>
        <w:rPr>
          <w:rFonts w:ascii="EC Square Sans Pro" w:hAnsi="EC Square Sans Pro"/>
        </w:rPr>
        <w:t xml:space="preserve">Többek között vállalatok, munkavállalók, oktatási és képzési szolgáltatók, országos, regionális és helyi hatóságok, kereskedelmi kamarák és foglalkoztatási szolgálatok járulnak hozzá a továbbképzések és átképzések megvalósításához.</w:t>
      </w:r>
      <w:r>
        <w:rPr>
          <w:rFonts w:ascii="EC Square Sans Pro" w:hAnsi="EC Square Sans Pro"/>
        </w:rPr>
        <w:t xml:space="preserve"> </w:t>
      </w:r>
      <w:r>
        <w:rPr>
          <w:rFonts w:ascii="EC Square Sans Pro" w:hAnsi="EC Square Sans Pro"/>
        </w:rPr>
        <w:t xml:space="preserve">Az összehangolt erőfeszítések egyértelművé tehetik a helyzetet az egyének és a vállalatok számára az értéklánc egészében, csökkenthetik a költségeket, és a prioritásokra összpontosíthatnak.</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14:ligatures w14:val="none"/>
          <w:rFonts w:ascii="EC Square Sans Pro" w:hAnsi="EC Square Sans Pro"/>
        </w:rPr>
      </w:pPr>
      <w:r>
        <w:rPr>
          <w:rFonts w:ascii="EC Square Sans Pro" w:hAnsi="EC Square Sans Pro"/>
        </w:rPr>
        <w:t xml:space="preserve">Ezért indítja útjára a Bizottság a készségfejlesztési paktumot – amely a készségfejlesztés iránti közös elkötelezettség és megközelítés.</w:t>
      </w:r>
      <w:r>
        <w:rPr>
          <w:rFonts w:ascii="EC Square Sans Pro" w:hAnsi="EC Square Sans Pro"/>
        </w:rPr>
        <w:t xml:space="preserve"> </w:t>
      </w:r>
      <w:r>
        <w:rPr>
          <w:rFonts w:ascii="EC Square Sans Pro" w:hAnsi="EC Square Sans Pro"/>
        </w:rPr>
        <w:t xml:space="preserve">A paktum szilárdan a szociális jogok európai pillérének elveiben gyökerezik, és támogatja a zöld megállapodás és a digitális átalakulás céljait, amint azt „A méltányos átállást szolgáló erős szociális Európa” című bizottsági közlemény kifejti.</w:t>
      </w:r>
      <w:r>
        <w:rPr>
          <w:rFonts w:ascii="EC Square Sans Pro" w:hAnsi="EC Square Sans Pro"/>
        </w:rPr>
        <w:t xml:space="preserve"> </w:t>
      </w:r>
    </w:p>
    <w:p w14:paraId="30D9621B" w14:textId="77777777" w:rsidR="000D72F3" w:rsidRPr="0059792B" w:rsidRDefault="000D72F3" w:rsidP="000D72F3">
      <w:pPr>
        <w:pStyle w:val="Briefingtext"/>
        <w:tabs>
          <w:tab w:val="left" w:pos="-31680"/>
        </w:tabs>
        <w:spacing w:before="120" w:after="0" w:line="276" w:lineRule="auto"/>
        <w:rPr>
          <w14:ligatures w14:val="none"/>
          <w:rFonts w:ascii="EC Square Sans Pro" w:hAnsi="EC Square Sans Pro"/>
        </w:rPr>
      </w:pPr>
      <w:r>
        <w:rPr>
          <w:rFonts w:ascii="EC Square Sans Pro" w:hAnsi="EC Square Sans Pro"/>
        </w:rPr>
        <w:t xml:space="preserve">A paktum célja, hogy mozgósítsa és ösztönözze a magán és állami érdekelt feleket arra, hogy tegyenek konkrét intézkedéseket a munkaképes korú személyek tovább- és átképzése érdekében, és adott esetben egyesítsék erőfeszítéseiket a partnerségeken belül.</w:t>
      </w:r>
      <w:r>
        <w:rPr>
          <w:rFonts w:ascii="EC Square Sans Pro" w:hAnsi="EC Square Sans Pro"/>
        </w:rPr>
        <w:t xml:space="preserve"> </w:t>
      </w:r>
    </w:p>
    <w:p w14:paraId="1E95754F" w14:textId="77777777" w:rsidR="000D72F3" w:rsidRPr="0059792B" w:rsidRDefault="000D72F3" w:rsidP="000D72F3">
      <w:pPr>
        <w:pStyle w:val="Briefingtext"/>
        <w:tabs>
          <w:tab w:val="left" w:pos="-31680"/>
        </w:tabs>
        <w:spacing w:before="120" w:after="0" w:line="276" w:lineRule="auto"/>
        <w:rPr>
          <w:b/>
          <w:rFonts w:ascii="EC Square Sans Pro" w:hAnsi="EC Square Sans Pro" w:cs="Calibri"/>
        </w:rPr>
      </w:pPr>
      <w:r>
        <w:rPr>
          <w:b/>
          <w:rFonts w:ascii="EC Square Sans Pro" w:hAnsi="EC Square Sans Pro"/>
        </w:rPr>
        <w:t xml:space="preserve">A paktumhoz való csatlakozás:</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14:ligatures w14:val="none"/>
          <w:rFonts w:ascii="EC Square Sans Pro" w:hAnsi="EC Square Sans Pro"/>
        </w:rPr>
      </w:pPr>
      <w:r>
        <w:rPr>
          <w:rFonts w:ascii="EC Square Sans Pro" w:hAnsi="EC Square Sans Pro"/>
        </w:rPr>
        <w:t xml:space="preserve">A paktumhoz csatlakozó valamennyi érdekelt fél csatlakozik a chartához és annak alapelveihez, egyetértve azzal, hogy azokat tiszteletben tartja és fenntartja.</w:t>
      </w:r>
      <w:r>
        <w:rPr>
          <w:rFonts w:ascii="EC Square Sans Pro" w:hAnsi="EC Square Sans Pro"/>
        </w:rPr>
        <w:t xml:space="preserve"> </w:t>
      </w:r>
    </w:p>
    <w:p w14:paraId="41583F4C" w14:textId="77777777" w:rsidR="000D72F3" w:rsidRPr="0059792B" w:rsidRDefault="000D72F3" w:rsidP="000D72F3">
      <w:pPr>
        <w:pStyle w:val="Text1"/>
        <w:numPr>
          <w:ilvl w:val="3"/>
          <w:numId w:val="8"/>
        </w:numPr>
        <w:spacing w:before="120" w:after="0" w:line="276" w:lineRule="auto"/>
        <w:ind w:left="360"/>
        <w:rPr>
          <w:sz w:val="22"/>
          <w:szCs w:val="22"/>
          <w:rFonts w:ascii="EC Square Sans Pro" w:hAnsi="EC Square Sans Pro"/>
        </w:rPr>
      </w:pPr>
      <w:r>
        <w:rPr>
          <w:sz w:val="22"/>
          <w:szCs w:val="22"/>
          <w:rFonts w:ascii="EC Square Sans Pro" w:hAnsi="EC Square Sans Pro"/>
        </w:rPr>
        <w:t xml:space="preserve">A paktum aláírói felkérést kapnak arra, hogy elkötelezettségüket váltsák konkrét tovább- és átképzési kötelezettségvállalásokra.</w:t>
      </w:r>
      <w:r>
        <w:rPr>
          <w:sz w:val="22"/>
          <w:szCs w:val="22"/>
          <w:rFonts w:ascii="EC Square Sans Pro" w:hAnsi="EC Square Sans Pro"/>
        </w:rPr>
        <w:t xml:space="preserve"> </w:t>
      </w:r>
      <w:r>
        <w:rPr>
          <w:sz w:val="22"/>
          <w:szCs w:val="22"/>
          <w:rFonts w:ascii="EC Square Sans Pro" w:hAnsi="EC Square Sans Pro"/>
        </w:rPr>
        <w:t xml:space="preserve">A kötelezettségvállalásoknak összhangban kell lenniük az alapelvekkel, és számos olyan „támogató” tényező köré épülhetnek, amelyek a különböző elvek megvalósításának konkrét módjait szemléltetik.</w:t>
      </w:r>
    </w:p>
    <w:p w14:paraId="71812DDC" w14:textId="77777777" w:rsidR="000D72F3" w:rsidRPr="0059792B" w:rsidRDefault="000D72F3" w:rsidP="000D72F3">
      <w:pPr>
        <w:pStyle w:val="Text1"/>
        <w:numPr>
          <w:ilvl w:val="3"/>
          <w:numId w:val="8"/>
        </w:numPr>
        <w:spacing w:before="120" w:after="0" w:line="276" w:lineRule="auto"/>
        <w:ind w:left="360"/>
        <w:rPr>
          <w:sz w:val="22"/>
          <w:szCs w:val="22"/>
          <w:rFonts w:ascii="EC Square Sans Pro" w:hAnsi="EC Square Sans Pro"/>
        </w:rPr>
      </w:pPr>
      <w:r>
        <w:rPr>
          <w:sz w:val="22"/>
          <w:szCs w:val="22"/>
          <w:rFonts w:ascii="EC Square Sans Pro" w:hAnsi="EC Square Sans Pro"/>
        </w:rPr>
        <w:t xml:space="preserve">A kötelezettségvállalásokat legalább egy kulcsfontosságú teljesítménymutatóval (pl. a tovább- vagy átképzésben részt vevők száma) figyelemmel kell kísérni.</w:t>
      </w:r>
    </w:p>
    <w:p w14:paraId="03C9364E" w14:textId="77777777" w:rsidR="000D72F3" w:rsidRPr="0059792B" w:rsidRDefault="000D72F3" w:rsidP="000D72F3">
      <w:pPr>
        <w:widowControl w:val="0"/>
        <w:rPr>
          <w:b/>
          <w:sz w:val="22"/>
          <w:szCs w:val="22"/>
          <w:rFonts w:ascii="EC Square Sans Pro" w:hAnsi="EC Square Sans Pro" w:cs="Calibri"/>
        </w:rPr>
      </w:pPr>
      <w:r>
        <w:rPr>
          <w:b/>
          <w:sz w:val="22"/>
          <w:szCs w:val="22"/>
          <w:rFonts w:ascii="Calibri" w:hAnsi="Calibri"/>
        </w:rPr>
        <w:t xml:space="preserve"> </w:t>
      </w:r>
      <w:r>
        <w:rPr>
          <w:b/>
          <w:sz w:val="22"/>
          <w:szCs w:val="22"/>
          <w:rFonts w:ascii="EC Square Sans Pro" w:hAnsi="EC Square Sans Pro"/>
        </w:rPr>
        <w:t xml:space="preserve">A Charta alapelvei:</w:t>
      </w:r>
    </w:p>
    <w:p w14:paraId="5934F8AB" w14:textId="77777777" w:rsidR="000D72F3" w:rsidRPr="0059792B" w:rsidRDefault="000D72F3" w:rsidP="000D72F3">
      <w:pPr>
        <w:pStyle w:val="Text1"/>
        <w:numPr>
          <w:ilvl w:val="0"/>
          <w:numId w:val="9"/>
        </w:numPr>
        <w:spacing w:before="120" w:after="0" w:line="276" w:lineRule="auto"/>
        <w:rPr>
          <w:sz w:val="22"/>
          <w:szCs w:val="22"/>
          <w:rFonts w:ascii="EC Square Sans Pro" w:hAnsi="EC Square Sans Pro"/>
        </w:rPr>
      </w:pPr>
      <w:r>
        <w:rPr>
          <w:sz w:val="22"/>
          <w:szCs w:val="22"/>
          <w:rFonts w:ascii="EC Square Sans Pro" w:hAnsi="EC Square Sans Pro"/>
        </w:rPr>
        <w:t xml:space="preserve">Az egész életen át tartó tanulás kultúrájának előmozdítása mindenki számára</w:t>
      </w:r>
    </w:p>
    <w:p w14:paraId="6034AA03" w14:textId="77777777" w:rsidR="000D72F3" w:rsidRPr="0059792B" w:rsidRDefault="000D72F3" w:rsidP="000D72F3">
      <w:pPr>
        <w:pStyle w:val="Text1"/>
        <w:numPr>
          <w:ilvl w:val="0"/>
          <w:numId w:val="9"/>
        </w:numPr>
        <w:spacing w:after="0" w:line="276" w:lineRule="auto"/>
        <w:rPr>
          <w:sz w:val="22"/>
          <w:szCs w:val="22"/>
          <w:rFonts w:ascii="EC Square Sans Pro" w:hAnsi="EC Square Sans Pro"/>
        </w:rPr>
      </w:pPr>
      <w:r>
        <w:rPr>
          <w:sz w:val="22"/>
          <w:szCs w:val="22"/>
          <w:rFonts w:ascii="EC Square Sans Pro" w:hAnsi="EC Square Sans Pro"/>
        </w:rPr>
        <w:t xml:space="preserve">Erős készségfejlesztési partnerségek kiépítése</w:t>
      </w:r>
    </w:p>
    <w:p w14:paraId="5F6B1286" w14:textId="77777777" w:rsidR="000D72F3" w:rsidRPr="0059792B" w:rsidRDefault="000D72F3" w:rsidP="000D72F3">
      <w:pPr>
        <w:pStyle w:val="Text1"/>
        <w:numPr>
          <w:ilvl w:val="0"/>
          <w:numId w:val="9"/>
        </w:numPr>
        <w:spacing w:after="0" w:line="276" w:lineRule="auto"/>
        <w:rPr>
          <w:sz w:val="22"/>
          <w:szCs w:val="22"/>
          <w:rFonts w:ascii="EC Square Sans Pro" w:hAnsi="EC Square Sans Pro"/>
        </w:rPr>
      </w:pPr>
      <w:r>
        <w:rPr>
          <w:sz w:val="22"/>
          <w:szCs w:val="22"/>
          <w:rFonts w:ascii="EC Square Sans Pro" w:hAnsi="EC Square Sans Pro"/>
        </w:rPr>
        <w:t xml:space="preserve">A készségek keresletének/kínálatának figyelemmel kísérése és a készségigények előrejelzése</w:t>
      </w:r>
    </w:p>
    <w:p w14:paraId="29B28BED" w14:textId="77777777" w:rsidR="000D72F3" w:rsidRPr="0059792B" w:rsidRDefault="000D72F3" w:rsidP="000D72F3">
      <w:pPr>
        <w:pStyle w:val="Text1"/>
        <w:numPr>
          <w:ilvl w:val="0"/>
          <w:numId w:val="9"/>
        </w:numPr>
        <w:spacing w:after="0" w:line="276" w:lineRule="auto"/>
        <w:rPr>
          <w:sz w:val="22"/>
          <w:szCs w:val="22"/>
          <w:rFonts w:ascii="EC Square Sans Pro" w:hAnsi="EC Square Sans Pro"/>
        </w:rPr>
      </w:pPr>
      <w:r>
        <w:rPr>
          <w:sz w:val="22"/>
          <w:szCs w:val="22"/>
          <w:rFonts w:ascii="EC Square Sans Pro" w:hAnsi="EC Square Sans Pro"/>
        </w:rPr>
        <w:t xml:space="preserve">A megkülönböztetés elleni küzdelem, valamint a nemek közötti egyenlőség és az esélyegyenlőség előmozdítása</w:t>
      </w:r>
    </w:p>
    <w:p w14:paraId="41AED67E" w14:textId="77777777" w:rsidR="000D72F3" w:rsidRPr="0059792B" w:rsidRDefault="000D72F3" w:rsidP="000D72F3">
      <w:pPr>
        <w:widowControl w:val="0"/>
        <w:rPr>
          <w:b/>
          <w:sz w:val="22"/>
          <w:szCs w:val="22"/>
          <w:rFonts w:ascii="EC Square Sans Pro" w:hAnsi="EC Square Sans Pro" w:cs="Calibri"/>
        </w:rPr>
      </w:pPr>
      <w:r>
        <w:rPr>
          <w:b/>
          <w:sz w:val="22"/>
          <w:szCs w:val="22"/>
          <w:rFonts w:ascii="EC Square Sans Pro" w:hAnsi="EC Square Sans Pro"/>
        </w:rPr>
        <w:t xml:space="preserve">A paktum végrehajtói a következők lehetnek:</w:t>
      </w:r>
    </w:p>
    <w:p w14:paraId="6B677FFB" w14:textId="77777777" w:rsidR="000D72F3" w:rsidRPr="0059792B" w:rsidRDefault="000D72F3" w:rsidP="000D72F3">
      <w:pPr>
        <w:pStyle w:val="Text1"/>
        <w:numPr>
          <w:ilvl w:val="0"/>
          <w:numId w:val="10"/>
        </w:numPr>
        <w:spacing w:before="120" w:after="0" w:line="276" w:lineRule="auto"/>
        <w:rPr>
          <w:sz w:val="22"/>
          <w:szCs w:val="22"/>
          <w:rFonts w:ascii="EC Square Sans Pro" w:hAnsi="EC Square Sans Pro"/>
        </w:rPr>
      </w:pPr>
      <w:r>
        <w:rPr>
          <w:sz w:val="22"/>
          <w:szCs w:val="22"/>
          <w:rFonts w:ascii="EC Square Sans Pro" w:hAnsi="EC Square Sans Pro"/>
        </w:rPr>
        <w:t xml:space="preserve">Egyes vállalatok vagy más magán- vagy állami szervezetek</w:t>
      </w:r>
    </w:p>
    <w:p w14:paraId="7CA5A2B6" w14:textId="77777777" w:rsidR="000D72F3" w:rsidRPr="0059792B" w:rsidRDefault="000D72F3" w:rsidP="000D72F3">
      <w:pPr>
        <w:pStyle w:val="Text1"/>
        <w:numPr>
          <w:ilvl w:val="0"/>
          <w:numId w:val="10"/>
        </w:numPr>
        <w:spacing w:after="0" w:line="276" w:lineRule="auto"/>
        <w:rPr>
          <w:sz w:val="22"/>
          <w:szCs w:val="22"/>
          <w:rFonts w:ascii="EC Square Sans Pro" w:hAnsi="EC Square Sans Pro"/>
        </w:rPr>
      </w:pPr>
      <w:r>
        <w:rPr>
          <w:sz w:val="22"/>
          <w:szCs w:val="22"/>
          <w:rFonts w:ascii="EC Square Sans Pro" w:hAnsi="EC Square Sans Pro"/>
        </w:rPr>
        <w:t xml:space="preserve">Regionális vagy helyi partnerségek</w:t>
      </w:r>
    </w:p>
    <w:p w14:paraId="79601AEC" w14:textId="77777777" w:rsidR="000D72F3" w:rsidRPr="0059792B" w:rsidRDefault="000D72F3" w:rsidP="000D72F3">
      <w:pPr>
        <w:pStyle w:val="Text1"/>
        <w:numPr>
          <w:ilvl w:val="0"/>
          <w:numId w:val="10"/>
        </w:numPr>
        <w:spacing w:after="0" w:line="276" w:lineRule="auto"/>
        <w:rPr>
          <w:sz w:val="22"/>
          <w:szCs w:val="22"/>
          <w:rFonts w:ascii="EC Square Sans Pro" w:hAnsi="EC Square Sans Pro"/>
        </w:rPr>
      </w:pPr>
      <w:r>
        <w:rPr>
          <w:sz w:val="22"/>
          <w:szCs w:val="22"/>
          <w:rFonts w:ascii="EC Square Sans Pro" w:hAnsi="EC Square Sans Pro"/>
        </w:rPr>
        <w:t xml:space="preserve">Ipari vagy ágazatközi partnerségek</w:t>
      </w:r>
    </w:p>
    <w:p w14:paraId="76F5C4D8" w14:textId="77777777" w:rsidR="000D72F3" w:rsidRPr="0059792B" w:rsidRDefault="000D72F3" w:rsidP="000D72F3">
      <w:pPr>
        <w:pStyle w:val="Text1"/>
        <w:spacing w:before="120" w:after="0" w:line="276" w:lineRule="auto"/>
        <w:ind w:left="0"/>
        <w:rPr>
          <w:sz w:val="22"/>
          <w:szCs w:val="22"/>
          <w:rFonts w:ascii="EC Square Sans Pro" w:hAnsi="EC Square Sans Pro"/>
        </w:rPr>
      </w:pPr>
      <w:r>
        <w:rPr>
          <w:b/>
          <w:sz w:val="22"/>
          <w:szCs w:val="22"/>
          <w:rFonts w:ascii="EC Square Sans Pro" w:hAnsi="EC Square Sans Pro"/>
        </w:rPr>
        <w:t xml:space="preserve">Támogatás a paktum keretében:</w:t>
      </w:r>
    </w:p>
    <w:p w14:paraId="4D8D8F13" w14:textId="77777777" w:rsidR="000D72F3" w:rsidRPr="0059792B" w:rsidRDefault="000D72F3" w:rsidP="000D72F3">
      <w:pPr>
        <w:pStyle w:val="Text1"/>
        <w:spacing w:before="120" w:line="276" w:lineRule="auto"/>
        <w:ind w:left="0"/>
        <w:rPr>
          <w:bCs/>
          <w:sz w:val="22"/>
          <w:szCs w:val="22"/>
          <w:rFonts w:ascii="EC Square Sans Pro" w:hAnsi="EC Square Sans Pro" w:cs="Calibri"/>
        </w:rPr>
      </w:pPr>
      <w:r>
        <w:rPr>
          <w:bCs/>
          <w:sz w:val="22"/>
          <w:szCs w:val="22"/>
          <w:rFonts w:ascii="EC Square Sans Pro" w:hAnsi="EC Square Sans Pro"/>
        </w:rPr>
        <w:t xml:space="preserve">A Bizottság 2021-től az alábbi célzott szolgáltatásokon keresztül támogatja a paktum aláíróit:</w:t>
      </w:r>
    </w:p>
    <w:p w14:paraId="4AB6A870" w14:textId="77777777" w:rsidR="000D72F3" w:rsidRPr="0059792B" w:rsidRDefault="000D72F3" w:rsidP="000D72F3">
      <w:pPr>
        <w:pStyle w:val="Text1"/>
        <w:numPr>
          <w:ilvl w:val="0"/>
          <w:numId w:val="11"/>
        </w:numPr>
        <w:spacing w:before="120" w:after="0" w:line="276" w:lineRule="auto"/>
        <w:rPr>
          <w:bCs/>
          <w:sz w:val="22"/>
          <w:szCs w:val="22"/>
          <w:rFonts w:ascii="EC Square Sans Pro" w:hAnsi="EC Square Sans Pro" w:cs="Calibri"/>
        </w:rPr>
      </w:pPr>
      <w:r>
        <w:rPr>
          <w:sz w:val="22"/>
          <w:szCs w:val="22"/>
          <w:b/>
          <w:rFonts w:ascii="EC Square Sans Pro" w:hAnsi="EC Square Sans Pro"/>
        </w:rPr>
        <w:t xml:space="preserve">Kapcsolatépítő</w:t>
      </w:r>
      <w:r>
        <w:rPr>
          <w:sz w:val="22"/>
          <w:szCs w:val="22"/>
          <w:b/>
          <w:bCs/>
          <w:rFonts w:ascii="EC Square Sans Pro" w:hAnsi="EC Square Sans Pro"/>
        </w:rPr>
        <w:t xml:space="preserve"> központ</w:t>
      </w:r>
      <w:r>
        <w:rPr>
          <w:sz w:val="22"/>
          <w:szCs w:val="22"/>
          <w:bCs/>
          <w:rFonts w:ascii="EC Square Sans Pro" w:hAnsi="EC Square Sans Pro"/>
        </w:rPr>
        <w:t xml:space="preserve">, amely többek között a következőket biztosítja:</w:t>
      </w:r>
      <w:r>
        <w:rPr>
          <w:sz w:val="22"/>
          <w:szCs w:val="22"/>
          <w:bCs/>
          <w:rFonts w:ascii="EC Square Sans Pro" w:hAnsi="EC Square Sans Pro"/>
        </w:rPr>
        <w:t xml:space="preserve"> </w:t>
      </w:r>
      <w:r>
        <w:rPr>
          <w:sz w:val="22"/>
          <w:szCs w:val="22"/>
          <w:bCs/>
          <w:rFonts w:ascii="EC Square Sans Pro" w:hAnsi="EC Square Sans Pro"/>
        </w:rPr>
        <w:t xml:space="preserve">támogatás nyújtása a partnerkereséshez, valamint a partnerségek első találkozóinak megszervezéséhez;</w:t>
      </w:r>
      <w:r>
        <w:rPr>
          <w:sz w:val="22"/>
          <w:szCs w:val="22"/>
          <w:bCs/>
          <w:rFonts w:ascii="EC Square Sans Pro" w:hAnsi="EC Square Sans Pro"/>
        </w:rPr>
        <w:t xml:space="preserve"> </w:t>
      </w:r>
      <w:r>
        <w:rPr>
          <w:sz w:val="22"/>
          <w:szCs w:val="22"/>
          <w:bCs/>
          <w:rFonts w:ascii="EC Square Sans Pro" w:hAnsi="EC Square Sans Pro"/>
        </w:rPr>
        <w:t xml:space="preserve">összekapcsolás meglévő uniós eszközökkel, pl. a következőkkel: Europass, Skills Panorama („készségkörkép”), EURES és az állami foglalkoztatási szolgálatok hálózata;</w:t>
      </w:r>
      <w:r>
        <w:rPr>
          <w:sz w:val="22"/>
          <w:szCs w:val="22"/>
          <w:bCs/>
          <w:rFonts w:ascii="EC Square Sans Pro" w:hAnsi="EC Square Sans Pro"/>
        </w:rPr>
        <w:t xml:space="preserve"> </w:t>
      </w:r>
      <w:r>
        <w:rPr>
          <w:sz w:val="22"/>
          <w:szCs w:val="22"/>
          <w:bCs/>
          <w:rFonts w:ascii="EC Square Sans Pro" w:hAnsi="EC Square Sans Pro"/>
        </w:rPr>
        <w:t xml:space="preserve">a paktum tagjai által végzett tevékenységek népszerűsítése.</w:t>
      </w:r>
    </w:p>
    <w:p w14:paraId="5C68B70A" w14:textId="77777777" w:rsidR="000D72F3" w:rsidRPr="0059792B" w:rsidRDefault="000D72F3" w:rsidP="000D72F3">
      <w:pPr>
        <w:pStyle w:val="Text1"/>
        <w:numPr>
          <w:ilvl w:val="0"/>
          <w:numId w:val="11"/>
        </w:numPr>
        <w:spacing w:before="120" w:after="0" w:line="276" w:lineRule="auto"/>
        <w:rPr>
          <w:bCs/>
          <w:sz w:val="22"/>
          <w:szCs w:val="22"/>
          <w:rFonts w:ascii="EC Square Sans Pro" w:hAnsi="EC Square Sans Pro" w:cs="Calibri"/>
        </w:rPr>
      </w:pPr>
      <w:r>
        <w:rPr>
          <w:sz w:val="22"/>
          <w:szCs w:val="22"/>
          <w:b/>
          <w:rFonts w:ascii="EC Square Sans Pro" w:hAnsi="EC Square Sans Pro"/>
        </w:rPr>
        <w:t xml:space="preserve">Tudás</w:t>
      </w:r>
      <w:r>
        <w:rPr>
          <w:sz w:val="22"/>
          <w:szCs w:val="22"/>
          <w:b/>
          <w:bCs/>
          <w:rFonts w:ascii="EC Square Sans Pro" w:hAnsi="EC Square Sans Pro"/>
        </w:rPr>
        <w:t xml:space="preserve">központ</w:t>
      </w:r>
      <w:r>
        <w:rPr>
          <w:sz w:val="22"/>
          <w:szCs w:val="22"/>
          <w:bCs/>
          <w:rFonts w:ascii="EC Square Sans Pro" w:hAnsi="EC Square Sans Pro"/>
        </w:rPr>
        <w:t xml:space="preserve">, amely többek között a következőket biztosítja:</w:t>
      </w:r>
      <w:r>
        <w:rPr>
          <w:sz w:val="22"/>
          <w:szCs w:val="22"/>
          <w:bCs/>
          <w:rFonts w:ascii="EC Square Sans Pro" w:hAnsi="EC Square Sans Pro"/>
        </w:rPr>
        <w:t xml:space="preserve"> </w:t>
      </w:r>
      <w:r>
        <w:rPr>
          <w:sz w:val="22"/>
          <w:szCs w:val="22"/>
          <w:bCs/>
          <w:rFonts w:ascii="EC Square Sans Pro" w:hAnsi="EC Square Sans Pro"/>
        </w:rPr>
        <w:t xml:space="preserve">webináriumok, szemináriumok, társaktól való tanulási tevékenységek;</w:t>
      </w:r>
      <w:r>
        <w:rPr>
          <w:sz w:val="22"/>
          <w:szCs w:val="22"/>
          <w:bCs/>
          <w:rFonts w:ascii="EC Square Sans Pro" w:hAnsi="EC Square Sans Pro"/>
        </w:rPr>
        <w:t xml:space="preserve"> </w:t>
      </w:r>
      <w:r>
        <w:rPr>
          <w:sz w:val="22"/>
          <w:szCs w:val="22"/>
          <w:bCs/>
          <w:rFonts w:ascii="EC Square Sans Pro" w:hAnsi="EC Square Sans Pro"/>
        </w:rPr>
        <w:t xml:space="preserve">az uniós politikákkal és eszközökkel kapcsolatos naprakész tájékoztatás;</w:t>
      </w:r>
      <w:r>
        <w:rPr>
          <w:sz w:val="22"/>
          <w:szCs w:val="22"/>
          <w:bCs/>
          <w:rFonts w:ascii="EC Square Sans Pro" w:hAnsi="EC Square Sans Pro"/>
        </w:rPr>
        <w:t xml:space="preserve"> </w:t>
      </w:r>
      <w:r>
        <w:rPr>
          <w:sz w:val="22"/>
          <w:szCs w:val="22"/>
          <w:bCs/>
          <w:rFonts w:ascii="EC Square Sans Pro" w:hAnsi="EC Square Sans Pro"/>
        </w:rPr>
        <w:t xml:space="preserve">projektekkel, eszközökkel és bevált gyakorlatokkal kapcsolatos tájékoztatás.</w:t>
      </w:r>
    </w:p>
    <w:p w14:paraId="3842D91E" w14:textId="77777777" w:rsidR="000D72F3" w:rsidRPr="0059792B" w:rsidRDefault="000D72F3" w:rsidP="000D72F3">
      <w:pPr>
        <w:pStyle w:val="Text1"/>
        <w:numPr>
          <w:ilvl w:val="0"/>
          <w:numId w:val="11"/>
        </w:numPr>
        <w:spacing w:before="120" w:after="0" w:line="276" w:lineRule="auto"/>
        <w:rPr>
          <w:bCs/>
          <w:sz w:val="22"/>
          <w:szCs w:val="22"/>
          <w:rFonts w:ascii="EC Square Sans Pro" w:hAnsi="EC Square Sans Pro" w:cs="Calibri"/>
        </w:rPr>
      </w:pPr>
      <w:r>
        <w:rPr>
          <w:sz w:val="22"/>
          <w:szCs w:val="22"/>
          <w:b/>
          <w:rFonts w:ascii="EC Square Sans Pro" w:hAnsi="EC Square Sans Pro"/>
        </w:rPr>
        <w:t xml:space="preserve">Útmutató</w:t>
      </w:r>
      <w:r>
        <w:rPr>
          <w:sz w:val="22"/>
          <w:szCs w:val="22"/>
          <w:b/>
          <w:bCs/>
          <w:rFonts w:ascii="EC Square Sans Pro" w:hAnsi="EC Square Sans Pro"/>
        </w:rPr>
        <w:t xml:space="preserve"> és erőforrás-megosztó központ</w:t>
      </w:r>
      <w:r>
        <w:rPr>
          <w:sz w:val="22"/>
          <w:szCs w:val="22"/>
          <w:bCs/>
          <w:rFonts w:ascii="EC Square Sans Pro" w:hAnsi="EC Square Sans Pro"/>
        </w:rPr>
        <w:t xml:space="preserve">, amely többek között a következőket biztosítja:</w:t>
      </w:r>
      <w:r>
        <w:rPr>
          <w:sz w:val="22"/>
          <w:szCs w:val="22"/>
          <w:bCs/>
          <w:rFonts w:ascii="EC Square Sans Pro" w:hAnsi="EC Square Sans Pro"/>
        </w:rPr>
        <w:t xml:space="preserve"> </w:t>
      </w:r>
      <w:r>
        <w:rPr>
          <w:sz w:val="22"/>
          <w:szCs w:val="22"/>
          <w:bCs/>
          <w:rFonts w:ascii="EC Square Sans Pro" w:hAnsi="EC Square Sans Pro"/>
        </w:rPr>
        <w:t xml:space="preserve">hozzáférés a vonatkozó uniós finanszírozással kapcsolatos információkhoz;</w:t>
      </w:r>
      <w:r>
        <w:rPr>
          <w:sz w:val="22"/>
          <w:szCs w:val="22"/>
          <w:bCs/>
          <w:rFonts w:ascii="EC Square Sans Pro" w:hAnsi="EC Square Sans Pro"/>
        </w:rPr>
        <w:t xml:space="preserve"> </w:t>
      </w:r>
      <w:r>
        <w:rPr>
          <w:sz w:val="22"/>
          <w:szCs w:val="22"/>
          <w:bCs/>
          <w:rFonts w:ascii="EC Square Sans Pro" w:hAnsi="EC Square Sans Pro"/>
        </w:rPr>
        <w:t xml:space="preserve">útmutatás a pénzügyi lehetőségek meghatározásához;</w:t>
      </w:r>
      <w:r>
        <w:rPr>
          <w:sz w:val="22"/>
          <w:szCs w:val="22"/>
          <w:bCs/>
          <w:rFonts w:ascii="EC Square Sans Pro" w:hAnsi="EC Square Sans Pro"/>
        </w:rPr>
        <w:t xml:space="preserve"> </w:t>
      </w:r>
      <w:r>
        <w:rPr>
          <w:sz w:val="22"/>
          <w:szCs w:val="22"/>
          <w:bCs/>
          <w:rFonts w:ascii="EC Square Sans Pro" w:hAnsi="EC Square Sans Pro"/>
        </w:rPr>
        <w:t xml:space="preserve">a paktum tagjai és a nemzeti/regionális hatóságok közötti eszmecsere megkönnyítése.</w:t>
      </w:r>
    </w:p>
    <w:p w14:paraId="77902F9C" w14:textId="77777777" w:rsidR="000D72F3" w:rsidRPr="00007FB5" w:rsidRDefault="000D72F3" w:rsidP="000D72F3">
      <w:pPr>
        <w:pStyle w:val="Text1"/>
        <w:spacing w:before="120" w:after="0" w:line="276" w:lineRule="auto"/>
        <w:ind w:left="0" w:right="113"/>
        <w:rPr>
          <w:sz w:val="22"/>
          <w:szCs w:val="22"/>
          <w:rFonts w:ascii="EC Square Sans Pro" w:hAnsi="EC Square Sans Pro" w:cstheme="minorHAnsi"/>
        </w:rPr>
      </w:pPr>
      <w:r>
        <w:rPr>
          <w:bCs/>
          <w:sz w:val="22"/>
          <w:szCs w:val="22"/>
          <w:rFonts w:ascii="EC Square Sans Pro" w:hAnsi="EC Square Sans Pro"/>
        </w:rPr>
        <w:t xml:space="preserve">Átfogó uniós finanszírozás, nevezetesen a Helyreállítási és Rezilienciaépítési Eszköz, valamint a</w:t>
      </w:r>
      <w:r>
        <w:t xml:space="preserve"> </w:t>
      </w:r>
      <w:r>
        <w:rPr>
          <w:bCs/>
          <w:sz w:val="22"/>
          <w:szCs w:val="22"/>
          <w:rFonts w:ascii="EC Square Sans Pro" w:hAnsi="EC Square Sans Pro"/>
        </w:rPr>
        <w:t xml:space="preserve">2021–2027-re szóló többéves pénzügyi keret szerinti megfelelő finanszírozási eszközök</w:t>
      </w:r>
      <w:r w:rsidRPr="0059792B">
        <w:rPr>
          <w:rStyle w:val="FootnoteReference"/>
          <w:rFonts w:ascii="EC Square Sans Pro" w:hAnsi="EC Square Sans Pro" w:cs="Calibri"/>
          <w:bCs/>
          <w:sz w:val="22"/>
          <w:szCs w:val="22"/>
        </w:rPr>
        <w:footnoteReference w:id="2"/>
      </w:r>
      <w:r>
        <w:rPr>
          <w:bCs/>
          <w:sz w:val="22"/>
          <w:szCs w:val="22"/>
          <w:rFonts w:ascii="EC Square Sans Pro" w:hAnsi="EC Square Sans Pro"/>
        </w:rPr>
        <w:t xml:space="preserve"> támogathatják a paktumot, és célszerű teljes mértékben fel is használni őket.</w:t>
      </w:r>
    </w:p>
    <w:p w14:paraId="3491745F" w14:textId="77777777" w:rsidR="000D72F3" w:rsidRDefault="000D72F3">
      <w:pPr>
        <w:spacing w:before="0" w:after="0"/>
        <w:jc w:val="left"/>
        <w:rPr>
          <w:b/>
          <w:sz w:val="28"/>
          <w:szCs w:val="28"/>
          <w:rFonts w:ascii="EC Square Sans Pro" w:hAnsi="EC Square Sans Pro" w:cstheme="minorHAnsi"/>
        </w:rPr>
      </w:pPr>
      <w:r>
        <w:br w:type="page"/>
      </w:r>
    </w:p>
    <w:p w14:paraId="2A1561AC" w14:textId="4BA50737" w:rsidR="000D72F3" w:rsidRDefault="000D72F3" w:rsidP="000D72F3">
      <w:pPr>
        <w:pStyle w:val="Text1"/>
        <w:spacing w:before="120" w:after="0" w:line="276" w:lineRule="auto"/>
        <w:ind w:left="0"/>
        <w:jc w:val="center"/>
        <w:rPr>
          <w:b/>
          <w:sz w:val="28"/>
          <w:szCs w:val="28"/>
          <w:rFonts w:ascii="EC Square Sans Pro" w:hAnsi="EC Square Sans Pro" w:cstheme="minorHAnsi"/>
        </w:rPr>
      </w:pPr>
      <w:r>
        <w:rPr>
          <w:b/>
          <w:sz w:val="28"/>
          <w:szCs w:val="28"/>
          <w:rFonts w:ascii="EC Square Sans Pro" w:hAnsi="EC Square Sans Pro"/>
        </w:rPr>
        <w:t xml:space="preserve">CHARTA</w:t>
      </w:r>
    </w:p>
    <w:p w14:paraId="1C6F0AF6" w14:textId="1C920D4F" w:rsidR="002E3766" w:rsidRPr="0059792B" w:rsidRDefault="00C82E8D" w:rsidP="00610108">
      <w:pPr>
        <w:pStyle w:val="Text1"/>
        <w:spacing w:before="120" w:after="0" w:line="276" w:lineRule="auto"/>
        <w:ind w:left="0"/>
        <w:rPr>
          <w:b/>
          <w:sz w:val="28"/>
          <w:szCs w:val="28"/>
          <w:rFonts w:ascii="EC Square Sans Pro" w:hAnsi="EC Square Sans Pro" w:cstheme="minorHAnsi"/>
        </w:rPr>
      </w:pPr>
      <w:r>
        <w:rPr>
          <w:b/>
          <w:sz w:val="28"/>
          <w:szCs w:val="28"/>
          <w:rFonts w:ascii="EC Square Sans Pro" w:hAnsi="EC Square Sans Pro"/>
        </w:rPr>
        <w:t xml:space="preserve">PREAMBULUM</w:t>
      </w:r>
    </w:p>
    <w:p w14:paraId="1E55824E" w14:textId="2680106D" w:rsidR="001A1133" w:rsidRDefault="001A1133" w:rsidP="00610108">
      <w:pPr>
        <w:pStyle w:val="Text1"/>
        <w:spacing w:before="120" w:after="0" w:line="276" w:lineRule="auto"/>
        <w:ind w:left="0"/>
        <w:rPr>
          <w:ins w:id="1" w:author="Author"/>
          <w:sz w:val="22"/>
          <w:szCs w:val="22"/>
          <w:rFonts w:ascii="EC Square Sans Pro" w:hAnsi="EC Square Sans Pro" w:cstheme="minorHAnsi"/>
        </w:rPr>
      </w:pPr>
      <w:r>
        <w:rPr>
          <w:sz w:val="22"/>
          <w:szCs w:val="22"/>
          <w:rFonts w:ascii="EC Square Sans Pro" w:hAnsi="EC Square Sans Pro"/>
        </w:rPr>
        <w:t xml:space="preserve">Tekintettel a </w:t>
      </w:r>
      <w:r>
        <w:rPr>
          <w:sz w:val="22"/>
          <w:szCs w:val="22"/>
          <w:b/>
          <w:bCs/>
          <w:rFonts w:ascii="EC Square Sans Pro" w:hAnsi="EC Square Sans Pro"/>
        </w:rPr>
        <w:t xml:space="preserve">szociális jogok európai pillérére</w:t>
      </w:r>
      <w:r>
        <w:rPr>
          <w:sz w:val="22"/>
          <w:szCs w:val="22"/>
          <w:rFonts w:ascii="EC Square Sans Pro" w:hAnsi="EC Square Sans Pro"/>
        </w:rPr>
        <w:t xml:space="preserve">, amely az EU iránytűje a társadalmi és inkluzív fellendülés megvalósítása, valamint a klímasemlegesség és a digitális Európa felé történő méltányos átmenet terén;</w:t>
      </w:r>
    </w:p>
    <w:p w14:paraId="5E808EE4" w14:textId="402D9D56" w:rsidR="00F17B01" w:rsidRPr="0059792B" w:rsidRDefault="0034151C"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Felismerve, hogy napjaink és a jövő </w:t>
      </w:r>
      <w:r>
        <w:rPr>
          <w:sz w:val="22"/>
          <w:szCs w:val="22"/>
          <w:b/>
          <w:bCs/>
          <w:rFonts w:ascii="EC Square Sans Pro" w:hAnsi="EC Square Sans Pro"/>
        </w:rPr>
        <w:t xml:space="preserve">digitális gazdaságának</w:t>
      </w:r>
      <w:r>
        <w:rPr>
          <w:sz w:val="22"/>
          <w:szCs w:val="22"/>
          <w:rFonts w:ascii="EC Square Sans Pro" w:hAnsi="EC Square Sans Pro"/>
        </w:rPr>
        <w:t xml:space="preserve"> középpontjában az embereknek kell állniuk;</w:t>
      </w:r>
    </w:p>
    <w:p w14:paraId="133317F9" w14:textId="2DF09309" w:rsidR="00F17B01" w:rsidRPr="0059792B" w:rsidRDefault="00F17B01"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Felidézve, hogy Európa az </w:t>
      </w:r>
      <w:r>
        <w:rPr>
          <w:sz w:val="22"/>
          <w:szCs w:val="22"/>
          <w:b/>
          <w:bCs/>
          <w:rFonts w:ascii="EC Square Sans Pro" w:hAnsi="EC Square Sans Pro"/>
        </w:rPr>
        <w:t xml:space="preserve">európai zöld megállapodással</w:t>
      </w:r>
      <w:r>
        <w:rPr>
          <w:sz w:val="22"/>
          <w:szCs w:val="22"/>
          <w:rFonts w:ascii="EC Square Sans Pro" w:hAnsi="EC Square Sans Pro"/>
        </w:rPr>
        <w:t xml:space="preserve"> kinyilvánította arra irányuló törekvését, hogy 2050-re az első klímasemleges kontinenssé váljon;</w:t>
      </w:r>
    </w:p>
    <w:p w14:paraId="4EF65972" w14:textId="7A984839" w:rsidR="00F17B01" w:rsidRPr="0059792B" w:rsidRDefault="00F17B01"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Támogatva az egységes piacon erős alapokkal rendelkező </w:t>
      </w:r>
      <w:r>
        <w:rPr>
          <w:sz w:val="22"/>
          <w:szCs w:val="22"/>
          <w:b/>
          <w:bCs/>
          <w:rFonts w:ascii="EC Square Sans Pro" w:hAnsi="EC Square Sans Pro"/>
        </w:rPr>
        <w:t xml:space="preserve">ipari és kkv-stratégiákat</w:t>
      </w:r>
      <w:r>
        <w:rPr>
          <w:sz w:val="22"/>
          <w:szCs w:val="22"/>
          <w:rFonts w:ascii="EC Square Sans Pro" w:hAnsi="EC Square Sans Pro"/>
        </w:rPr>
        <w:t xml:space="preserve">, amelyek lehetővé teszik a vállalkozások számára az innovációt és az új technológiák kifejlesztését, fokozzák a körforgást és új piacokat teremtenek;</w:t>
      </w:r>
    </w:p>
    <w:p w14:paraId="04E5A792" w14:textId="77777777" w:rsidR="00DB3BD1" w:rsidRPr="0059792B" w:rsidRDefault="00DB3BD1" w:rsidP="00DB3BD1">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Meggyőződve arról, hogy a készségek mind az emberek, mind a vállalatok számára kulcsfontosságúak ahhoz, hogy megnyissák a több és jobb munkahely, valamint a növekedés és a versenyképesség lehetőségeit, amint azt a fenntartható versenyképességre, a társadalmi méltányosságra és a rezilienciára vonatkozó </w:t>
      </w:r>
      <w:r>
        <w:rPr>
          <w:sz w:val="22"/>
          <w:szCs w:val="22"/>
          <w:b/>
          <w:bCs/>
          <w:rFonts w:ascii="EC Square Sans Pro" w:hAnsi="EC Square Sans Pro"/>
        </w:rPr>
        <w:t xml:space="preserve">európai készségfejlesztési program</w:t>
      </w:r>
      <w:r>
        <w:rPr>
          <w:sz w:val="22"/>
          <w:szCs w:val="22"/>
          <w:rFonts w:ascii="EC Square Sans Pro" w:hAnsi="EC Square Sans Pro"/>
        </w:rPr>
        <w:t xml:space="preserve"> is kifejti;</w:t>
      </w:r>
      <w:r>
        <w:rPr>
          <w:sz w:val="22"/>
          <w:szCs w:val="22"/>
          <w:rFonts w:ascii="EC Square Sans Pro" w:hAnsi="EC Square Sans Pro"/>
        </w:rPr>
        <w:t xml:space="preserve"> </w:t>
      </w:r>
    </w:p>
    <w:p w14:paraId="3EA00EB9" w14:textId="08100852" w:rsidR="00940BD0" w:rsidRDefault="00940BD0"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Megértve a vállalatok és a szociális partnerek fontos szerepét a készségigények azonosításában és a releváns készségek fejlesztésének támogatásában;</w:t>
      </w:r>
    </w:p>
    <w:p w14:paraId="55E6A4DF" w14:textId="68E35914" w:rsidR="00780965" w:rsidRPr="0059792B" w:rsidRDefault="00780965"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Kiemelve, hogy a szociális párbeszéd fontos szerepet játszik az európai tovább- és átképzések sikeréhez való hozzájárulásban, és maradéktalanul tiszteletben tartva a nemzeti rendszereket, a szociális partnerek szerepét és a kollektív szerződéseket;</w:t>
      </w:r>
    </w:p>
    <w:p w14:paraId="44B30350" w14:textId="5C8315D9" w:rsidR="0080312A" w:rsidRPr="0059792B" w:rsidRDefault="00AE6569"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Hangsúlyozva a vállalatok, a munkavállalók, valamint a regionális és helyi hatóságok közötti együttműködés és eszmecsere előnyeit;</w:t>
      </w:r>
    </w:p>
    <w:p w14:paraId="476199EA" w14:textId="4E273BD0" w:rsidR="002E3766" w:rsidRPr="0059792B" w:rsidRDefault="003A2765"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Elismerve, hogy a Covid19-világjárvány súlyosan érintette társadalmainkat és gazdaságainkat, és rámutatott az Európai Unión belüli szolidaritás, valamint a méltányos és rugalmas helyreállítás érdekében tett gyors fellépés jelentőségére;</w:t>
      </w:r>
      <w:r>
        <w:rPr>
          <w:sz w:val="22"/>
          <w:szCs w:val="22"/>
          <w:rFonts w:ascii="EC Square Sans Pro" w:hAnsi="EC Square Sans Pro"/>
        </w:rPr>
        <w:t xml:space="preserve"> </w:t>
      </w:r>
    </w:p>
    <w:p w14:paraId="2E3800BA" w14:textId="1F648D91" w:rsidR="002E3766" w:rsidRPr="0059792B" w:rsidRDefault="002E3766" w:rsidP="00610108">
      <w:pPr>
        <w:pStyle w:val="Text1"/>
        <w:spacing w:before="120" w:after="0" w:line="276" w:lineRule="auto"/>
        <w:ind w:left="0"/>
        <w:rPr>
          <w:sz w:val="22"/>
          <w:szCs w:val="22"/>
          <w:rFonts w:ascii="EC Square Sans Pro" w:hAnsi="EC Square Sans Pro" w:cstheme="minorHAnsi"/>
        </w:rPr>
      </w:pPr>
      <w:r>
        <w:rPr>
          <w:sz w:val="22"/>
          <w:szCs w:val="22"/>
          <w:b/>
          <w:bCs/>
          <w:rFonts w:ascii="EC Square Sans Pro" w:hAnsi="EC Square Sans Pro"/>
        </w:rPr>
        <w:t xml:space="preserve">Üdvözöljük a készségfejlesztési paktumot</w:t>
      </w:r>
      <w:r>
        <w:rPr>
          <w:sz w:val="22"/>
          <w:szCs w:val="22"/>
          <w:rFonts w:ascii="EC Square Sans Pro" w:hAnsi="EC Square Sans Pro"/>
        </w:rPr>
        <w:t xml:space="preserve">, amelyet az Európai Bizottság azzal a céllal indított útjára, hogy mozgósítsa a magán- és állami partnerek arra irányuló összehangolt erőfeszítéseit, hogy az Unió egészében a készségekbe történő minőségi beruházások valósuljanak meg valamennyi munkaképes korú személy számára, </w:t>
      </w:r>
      <w:r>
        <w:rPr>
          <w:sz w:val="22"/>
          <w:szCs w:val="22"/>
          <w:b/>
          <w:bCs/>
          <w:rFonts w:ascii="EC Square Sans Pro" w:hAnsi="EC Square Sans Pro"/>
        </w:rPr>
        <w:t xml:space="preserve">valamint tiszteletben tartjuk és fenntartjuk a következő alapelveket</w:t>
      </w:r>
      <w:r>
        <w:rPr>
          <w:sz w:val="22"/>
          <w:szCs w:val="22"/>
          <w:rFonts w:ascii="EC Square Sans Pro" w:hAnsi="EC Square Sans Pro"/>
        </w:rPr>
        <w:t xml:space="preserve">:</w:t>
      </w:r>
    </w:p>
    <w:p w14:paraId="66FFD0CB" w14:textId="5CBC9E99" w:rsidR="00610108" w:rsidRPr="0059792B" w:rsidRDefault="00610108" w:rsidP="00AB28CC">
      <w:pPr>
        <w:pStyle w:val="Text1"/>
        <w:numPr>
          <w:ilvl w:val="0"/>
          <w:numId w:val="2"/>
        </w:numPr>
        <w:spacing w:before="120" w:after="0" w:line="276" w:lineRule="auto"/>
        <w:rPr>
          <w:sz w:val="22"/>
          <w:szCs w:val="22"/>
          <w:rFonts w:ascii="EC Square Sans Pro" w:hAnsi="EC Square Sans Pro"/>
        </w:rPr>
      </w:pPr>
      <w:r>
        <w:rPr>
          <w:b/>
          <w:bCs/>
          <w:sz w:val="22"/>
          <w:szCs w:val="22"/>
          <w:rFonts w:ascii="EC Square Sans Pro" w:hAnsi="EC Square Sans Pro"/>
        </w:rPr>
        <w:t xml:space="preserve">Az egész életen át tartó tanulás kultúrájának előmozdítása mindenki számára</w:t>
      </w:r>
    </w:p>
    <w:p w14:paraId="5DC1E812" w14:textId="5C85E62B" w:rsidR="00610108" w:rsidRPr="0059792B" w:rsidRDefault="00610108" w:rsidP="00AB28CC">
      <w:pPr>
        <w:pStyle w:val="Text1"/>
        <w:numPr>
          <w:ilvl w:val="0"/>
          <w:numId w:val="2"/>
        </w:numPr>
        <w:spacing w:before="120" w:after="0" w:line="276" w:lineRule="auto"/>
        <w:jc w:val="left"/>
        <w:rPr>
          <w:b/>
          <w:bCs/>
          <w:sz w:val="22"/>
          <w:szCs w:val="22"/>
          <w:rFonts w:ascii="EC Square Sans Pro" w:hAnsi="EC Square Sans Pro"/>
        </w:rPr>
      </w:pPr>
      <w:r>
        <w:rPr>
          <w:b/>
          <w:bCs/>
          <w:sz w:val="22"/>
          <w:szCs w:val="22"/>
          <w:rFonts w:ascii="EC Square Sans Pro" w:hAnsi="EC Square Sans Pro"/>
        </w:rPr>
        <w:t xml:space="preserve">Erős készségfejlesztési partnerségek kiépítése</w:t>
      </w:r>
    </w:p>
    <w:p w14:paraId="66BE6F53" w14:textId="6F97C186" w:rsidR="00610108" w:rsidRPr="0059792B" w:rsidRDefault="00610108" w:rsidP="00AB28CC">
      <w:pPr>
        <w:pStyle w:val="Text1"/>
        <w:numPr>
          <w:ilvl w:val="0"/>
          <w:numId w:val="2"/>
        </w:numPr>
        <w:spacing w:before="120" w:after="0" w:line="276" w:lineRule="auto"/>
        <w:jc w:val="left"/>
        <w:rPr>
          <w:b/>
          <w:bCs/>
          <w:sz w:val="22"/>
          <w:szCs w:val="22"/>
          <w:rFonts w:ascii="EC Square Sans Pro" w:hAnsi="EC Square Sans Pro"/>
        </w:rPr>
      </w:pPr>
      <w:r>
        <w:rPr>
          <w:b/>
          <w:bCs/>
          <w:sz w:val="22"/>
          <w:szCs w:val="22"/>
          <w:rFonts w:ascii="EC Square Sans Pro" w:hAnsi="EC Square Sans Pro"/>
        </w:rPr>
        <w:t xml:space="preserve">A készségek keresletének/kínálatának figyelemmel kísérése és a készségigények előrejelzése</w:t>
      </w:r>
    </w:p>
    <w:p w14:paraId="53512182" w14:textId="72F0EC5A" w:rsidR="00610108" w:rsidRPr="0059792B" w:rsidRDefault="00610108" w:rsidP="00AB28CC">
      <w:pPr>
        <w:pStyle w:val="Text1"/>
        <w:numPr>
          <w:ilvl w:val="0"/>
          <w:numId w:val="2"/>
        </w:numPr>
        <w:spacing w:before="120" w:after="0" w:line="276" w:lineRule="auto"/>
        <w:jc w:val="left"/>
        <w:rPr>
          <w:sz w:val="22"/>
          <w:szCs w:val="22"/>
          <w:rFonts w:ascii="EC Square Sans Pro" w:hAnsi="EC Square Sans Pro"/>
        </w:rPr>
      </w:pPr>
      <w:r>
        <w:rPr>
          <w:b/>
          <w:bCs/>
          <w:sz w:val="22"/>
          <w:szCs w:val="22"/>
          <w:rFonts w:ascii="EC Square Sans Pro" w:hAnsi="EC Square Sans Pro"/>
        </w:rPr>
        <w:t xml:space="preserve">A megkülönböztetés elleni küzdelem, valamint a nemek közötti egyenlőség és az esélyegyenlőség előmozdítása</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sz w:val="22"/>
          <w:szCs w:val="22"/>
          <w:rFonts w:ascii="EC Square Sans Pro" w:hAnsi="EC Square Sans Pro" w:cstheme="minorHAnsi"/>
        </w:rPr>
      </w:pPr>
      <w:r>
        <w:rPr>
          <w:sz w:val="22"/>
          <w:szCs w:val="22"/>
          <w:rFonts w:ascii="EC Square Sans Pro" w:hAnsi="EC Square Sans Pro"/>
        </w:rPr>
        <w:t xml:space="preserve">Az aláírók jegyzéke</w:t>
      </w:r>
    </w:p>
    <w:p w14:paraId="6445B9C6" w14:textId="77777777" w:rsidR="00DB3BD1" w:rsidRPr="0059792B" w:rsidRDefault="00DB3BD1">
      <w:pPr>
        <w:spacing w:before="0" w:after="0"/>
        <w:jc w:val="left"/>
        <w:rPr>
          <w:b/>
          <w:sz w:val="28"/>
          <w:szCs w:val="28"/>
          <w:rFonts w:ascii="EC Square Sans Pro" w:hAnsi="EC Square Sans Pro" w:cstheme="minorHAnsi"/>
        </w:rPr>
      </w:pPr>
      <w:r>
        <w:br w:type="page"/>
      </w:r>
    </w:p>
    <w:p w14:paraId="54C3BA72" w14:textId="04392F2A" w:rsidR="0092105C" w:rsidRPr="0059792B" w:rsidRDefault="00DF26D8" w:rsidP="00610108">
      <w:pPr>
        <w:pStyle w:val="Text1"/>
        <w:spacing w:before="120" w:after="0" w:line="276" w:lineRule="auto"/>
        <w:ind w:left="0"/>
        <w:rPr>
          <w:b/>
          <w:sz w:val="28"/>
          <w:szCs w:val="28"/>
          <w:rFonts w:ascii="EC Square Sans Pro" w:hAnsi="EC Square Sans Pro" w:cstheme="minorHAnsi"/>
        </w:rPr>
      </w:pPr>
      <w:r>
        <w:rPr>
          <w:b/>
          <w:sz w:val="28"/>
          <w:szCs w:val="28"/>
          <w:rFonts w:ascii="EC Square Sans Pro" w:hAnsi="EC Square Sans Pro"/>
        </w:rPr>
        <w:t xml:space="preserve">A KONKRÉT KÖTELEZETTSÉGVÁLLALÁSOK KIDOLGOZÁSA</w:t>
      </w:r>
    </w:p>
    <w:p w14:paraId="17DC1260" w14:textId="7BD0DBF0" w:rsidR="00E31B0F" w:rsidRPr="0059792B" w:rsidRDefault="00E31B0F"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Az alapelvek tiszteletben tartása és fenntartása mellett a készségfejlesztési paktum aláíróit határozottan ösztönözzük arra, hogy terjesszenek elő a tovább- vagy átképzési tevékenységek végrehajtására irányuló konkrét kötelezettségvállalásokat, ily módon hívva életre a paktum alapelveit.</w:t>
      </w:r>
      <w:r>
        <w:rPr>
          <w:sz w:val="22"/>
          <w:szCs w:val="22"/>
          <w:rFonts w:ascii="EC Square Sans Pro" w:hAnsi="EC Square Sans Pro"/>
        </w:rPr>
        <w:t xml:space="preserve"> </w:t>
      </w:r>
      <w:r>
        <w:rPr>
          <w:sz w:val="22"/>
          <w:szCs w:val="22"/>
          <w:rFonts w:ascii="EC Square Sans Pro" w:hAnsi="EC Square Sans Pro"/>
        </w:rPr>
        <w:t xml:space="preserve">Ez különféle módokon történhet, a kontextustól, az ipari ökoszisztémától és az érintett szervezetek típusától – legyen szó egyes vállalatokról, más szervezetekről vagy partnerségekről – függően.</w:t>
      </w:r>
      <w:r>
        <w:rPr>
          <w:sz w:val="22"/>
          <w:szCs w:val="22"/>
          <w:rFonts w:ascii="EC Square Sans Pro" w:hAnsi="EC Square Sans Pro"/>
        </w:rPr>
        <w:t xml:space="preserve"> </w:t>
      </w:r>
    </w:p>
    <w:p w14:paraId="217CB6CB" w14:textId="5CE8453F" w:rsidR="0092105C" w:rsidRPr="0059792B" w:rsidRDefault="00E31B0F"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Az alábbiakban azoknak a támogató tényezőknek az indikatív jellegű és nem teljes körű felsorolása olvasható, amelyek támogathatják a konkrét kötelezettségvállalások kidolgozását.</w:t>
      </w:r>
      <w:r>
        <w:rPr>
          <w:sz w:val="22"/>
          <w:szCs w:val="22"/>
          <w:rFonts w:ascii="EC Square Sans Pro" w:hAnsi="EC Square Sans Pro"/>
        </w:rPr>
        <w:t xml:space="preserve"> </w:t>
      </w:r>
      <w:r>
        <w:rPr>
          <w:sz w:val="22"/>
          <w:szCs w:val="22"/>
          <w:rFonts w:ascii="EC Square Sans Pro" w:hAnsi="EC Square Sans Pro"/>
        </w:rPr>
        <w:t xml:space="preserve">Amikor a szervezetek vagy a partnerségek konkrét tovább- vagy átképzési tevékenységeket megnevezve kötelezettségvállalásra tesznek javaslatot, ki kell választaniuk a megfelelő támogató tényezőket, és azokat adott esetben adaptálniuk és integrálniuk kell, hogy megfeleljenek kötelezettségvállalásuk tartalmának.</w:t>
      </w:r>
      <w:r>
        <w:rPr>
          <w:sz w:val="22"/>
          <w:szCs w:val="22"/>
          <w:rFonts w:ascii="EC Square Sans Pro" w:hAnsi="EC Square Sans Pro"/>
        </w:rPr>
        <w:t xml:space="preserve"> </w:t>
      </w:r>
      <w:r>
        <w:rPr>
          <w:sz w:val="22"/>
          <w:szCs w:val="22"/>
          <w:rFonts w:ascii="EC Square Sans Pro" w:hAnsi="EC Square Sans Pro"/>
        </w:rPr>
        <w:t xml:space="preserve">A szervezeteknek és partnerségeknek továbbá legalább egy, a kötelezettségvállalás figyelemmel kísérésére szolgáló kulcsfontosságú teljesítménymutatót meg kell jelölniük, például a továbbképzési vagy átképzési tevékenységben részt vevő személyek számát.</w:t>
      </w:r>
    </w:p>
    <w:p w14:paraId="56EAC29A" w14:textId="35C9ECAA" w:rsidR="00A46659" w:rsidRPr="0059792B" w:rsidRDefault="00610108" w:rsidP="00610108">
      <w:pPr>
        <w:pStyle w:val="Text1"/>
        <w:spacing w:before="120" w:after="0" w:line="276" w:lineRule="auto"/>
        <w:ind w:left="0"/>
        <w:rPr>
          <w:b/>
          <w:sz w:val="22"/>
          <w:szCs w:val="22"/>
          <w:rFonts w:ascii="EC Square Sans Pro" w:hAnsi="EC Square Sans Pro" w:cstheme="minorHAnsi"/>
        </w:rPr>
      </w:pPr>
      <w:r>
        <w:rPr>
          <w:b/>
          <w:sz w:val="22"/>
          <w:szCs w:val="22"/>
          <w:rFonts w:ascii="EC Square Sans Pro" w:hAnsi="EC Square Sans Pro"/>
        </w:rPr>
        <w:t xml:space="preserve">Az egész életen át tartó tanulás kultúrájának előmozdítása mindenki számára</w:t>
      </w:r>
    </w:p>
    <w:p w14:paraId="746FAEF9" w14:textId="45F1129F" w:rsidR="00610108" w:rsidRPr="0059792B" w:rsidRDefault="00112082"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szervezet támogatja munkatársainak készségeit, mivel azok elengedhetetlenek a szervezet sikeréhez.</w:t>
      </w:r>
      <w:r>
        <w:rPr>
          <w:sz w:val="22"/>
          <w:szCs w:val="22"/>
          <w:rFonts w:ascii="EC Square Sans Pro" w:hAnsi="EC Square Sans Pro"/>
        </w:rPr>
        <w:t xml:space="preserve"> </w:t>
      </w:r>
    </w:p>
    <w:p w14:paraId="7B988AD8" w14:textId="555ED8A7" w:rsidR="00610108" w:rsidRPr="0059792B" w:rsidRDefault="00D156BA"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munkaadókat és a munkavállalókat megismertetik a tovább- és átképzés értékével és előnyeivel, és arra ösztönzik őket, hogy folyamatosan fejlesszék tudásukat és készségeiket.</w:t>
      </w:r>
    </w:p>
    <w:p w14:paraId="26136FE4" w14:textId="0CE1D3FE" w:rsidR="00610108" w:rsidRPr="0059792B" w:rsidRDefault="00610108"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tevékenységet a dolgozók számára és velük együtt alakítják ki, és az minden vezetői szint támogatását élvezi.</w:t>
      </w:r>
      <w:r>
        <w:rPr>
          <w:sz w:val="22"/>
          <w:szCs w:val="22"/>
          <w:rFonts w:ascii="EC Square Sans Pro" w:hAnsi="EC Square Sans Pro"/>
        </w:rPr>
        <w:t xml:space="preserve"> </w:t>
      </w:r>
    </w:p>
    <w:p w14:paraId="48002E22" w14:textId="1953C653" w:rsidR="000E1A31" w:rsidRPr="0059792B" w:rsidRDefault="00112082"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Rendelkezésre áll tanácsadás és a szakmai előmenetel támogatása.</w:t>
      </w:r>
    </w:p>
    <w:p w14:paraId="52B83533" w14:textId="2989E060" w:rsidR="00610108" w:rsidRPr="0059792B" w:rsidRDefault="007669A6"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Megfelelő pénzügyi forrásokat használnak fel.</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Rendszeres ellenőrzés és minőségértékelés folyik.</w:t>
      </w:r>
      <w:r>
        <w:rPr>
          <w:sz w:val="22"/>
          <w:szCs w:val="22"/>
          <w:rFonts w:ascii="EC Square Sans Pro" w:hAnsi="EC Square Sans Pro"/>
        </w:rPr>
        <w:t xml:space="preserve">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Különös figyelmet fordítanak a hátrányos helyzetű csoportok, köztük az idősebb munkavállalók és az olyan felnőttek tovább- és átképzésére, akiknek nehézséget okoznak az alapkészségek.</w:t>
      </w:r>
    </w:p>
    <w:p w14:paraId="09148CF1" w14:textId="4EEB302E" w:rsidR="00610108" w:rsidRPr="0059792B" w:rsidRDefault="006E34FF" w:rsidP="00AB28CC">
      <w:pPr>
        <w:pStyle w:val="Text1"/>
        <w:numPr>
          <w:ilvl w:val="0"/>
          <w:numId w:val="3"/>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Támogatják a vezetést és a személyzetet, hogy tanuljanak, és leküzdjék az olyan akadályokat, mint az idő-, a pénz- vagy a tovább- vagy átképzési lehetőségekkel kapcsolatos információhiány.</w:t>
      </w:r>
    </w:p>
    <w:p w14:paraId="2025A884" w14:textId="591C1DE3" w:rsidR="00E44623" w:rsidRPr="0059792B" w:rsidRDefault="00E44623" w:rsidP="00AB28CC">
      <w:pPr>
        <w:pStyle w:val="Text1"/>
        <w:numPr>
          <w:ilvl w:val="0"/>
          <w:numId w:val="3"/>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Pénzügyi és nem pénzügyi ösztönzők segítik a vállalatokat abban, hogy tovább- és átképzést biztosítsanak a munkaadók és a személyzet számára.</w:t>
      </w:r>
    </w:p>
    <w:p w14:paraId="0E1D140B" w14:textId="116877C0" w:rsidR="00E44623" w:rsidRPr="0059792B" w:rsidRDefault="00E44623" w:rsidP="00283AE0">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mikro-, kis- és középvállalkozások számára célzott támogatás (pl. eszközök, szolgáltatások és finanszírozás) áll rendelkezésre ahhoz, hogy a szervezeten belül mind a vezetőség, mind a személyzet számára megteremtsék és fenntartsák a tanulás kultúráját.</w:t>
      </w:r>
    </w:p>
    <w:p w14:paraId="357F5E3E" w14:textId="48A81CB8" w:rsidR="00610108" w:rsidRPr="0059792B" w:rsidRDefault="00610108" w:rsidP="00610108">
      <w:pPr>
        <w:pStyle w:val="Text1"/>
        <w:spacing w:before="120" w:after="0" w:line="276" w:lineRule="auto"/>
        <w:ind w:left="0"/>
        <w:rPr>
          <w:sz w:val="22"/>
          <w:szCs w:val="22"/>
          <w:rFonts w:ascii="EC Square Sans Pro" w:hAnsi="EC Square Sans Pro" w:cstheme="minorHAnsi"/>
        </w:rPr>
      </w:pPr>
      <w:r>
        <w:rPr>
          <w:b/>
          <w:sz w:val="22"/>
          <w:szCs w:val="22"/>
          <w:rFonts w:ascii="EC Square Sans Pro" w:hAnsi="EC Square Sans Pro"/>
        </w:rPr>
        <w:t xml:space="preserve">Erős készségfejlesztési partnerségek kiépítése</w:t>
      </w:r>
      <w:r>
        <w:rPr>
          <w:b/>
          <w:sz w:val="22"/>
          <w:szCs w:val="22"/>
          <w:rFonts w:ascii="EC Square Sans Pro" w:hAnsi="EC Square Sans Pro"/>
        </w:rPr>
        <w:t xml:space="preserve"> </w:t>
      </w:r>
    </w:p>
    <w:p w14:paraId="6FEB8D09" w14:textId="522BA2D1" w:rsidR="00610108" w:rsidRPr="0059792B" w:rsidRDefault="00E44623" w:rsidP="00AB28CC">
      <w:pPr>
        <w:pStyle w:val="Text1"/>
        <w:numPr>
          <w:ilvl w:val="0"/>
          <w:numId w:val="3"/>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A partnerségben az érdekelt felek széles köre vesz részt, nevezetesen szociális partnerek, képzési szolgáltatók, állami hatóságok, kutatók, állami vagy magán foglalkoztatási szolgálatok, kereskedelmi kamarák és más közvetítő szervek, valamint ágazati szervezetek.</w:t>
      </w:r>
      <w:r>
        <w:rPr>
          <w:sz w:val="22"/>
          <w:szCs w:val="22"/>
          <w:rFonts w:ascii="EC Square Sans Pro" w:hAnsi="EC Square Sans Pro"/>
        </w:rPr>
        <w:t xml:space="preserve"> </w:t>
      </w:r>
    </w:p>
    <w:p w14:paraId="3A8E8091" w14:textId="70390678" w:rsidR="00610108" w:rsidRDefault="00FA5FFC"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Az ipari ökoszisztémán belüli partnerség nyitva áll az összes érdekelt fél előtt, hogy a szakértelmet és az erőforrásokat olyan konkrét fellépések érdekében egyesítsék, amelyek lehetővé teszik az emberek számára, hogy megtartsák munkahelyüket, munkahelyet váltsanak vagy új munkahelyet találjanak.</w:t>
      </w:r>
      <w:r>
        <w:rPr>
          <w:sz w:val="22"/>
          <w:szCs w:val="22"/>
          <w:rFonts w:ascii="EC Square Sans Pro" w:hAnsi="EC Square Sans Pro"/>
        </w:rPr>
        <w:t xml:space="preserve"> </w:t>
      </w:r>
    </w:p>
    <w:p w14:paraId="56BA1EC8" w14:textId="06FE7D02" w:rsidR="004C3338" w:rsidRPr="0059792B" w:rsidRDefault="004C3338" w:rsidP="004C3338">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partnerség az adott helyzetnek megfelelően uniós, országos, regionális vagy helyi szinten működik együtt.</w:t>
      </w:r>
    </w:p>
    <w:p w14:paraId="07E6FC8B" w14:textId="2FA4354C" w:rsidR="00610108" w:rsidRPr="0059792B" w:rsidRDefault="00347462"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Az ágazatok/ipari ökoszisztémák megfelelő partnerségei közötti ágazatközi együttműködés támogatást élvez.</w:t>
      </w:r>
    </w:p>
    <w:p w14:paraId="2EE0BF81" w14:textId="00A529FF" w:rsidR="00610108" w:rsidRPr="0059792B" w:rsidRDefault="001130DA"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Biztosított minden partner közös felelőssége és proaktív szerepe.</w:t>
      </w:r>
    </w:p>
    <w:p w14:paraId="0D9D7987" w14:textId="5B48DE9F" w:rsidR="000E1A31" w:rsidRPr="0059792B" w:rsidRDefault="006E34FF"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partnerség tagjai nyílt párbeszédet folytatnak, valamint megosztják egymással és kicserélik egymás közt ismereteiket a képzési kínálat magas színvonalának biztosítása érdekében, ideértve a tanárok/oktatók és a képzési programok minőségét is.</w:t>
      </w:r>
      <w:r>
        <w:rPr>
          <w:sz w:val="22"/>
          <w:szCs w:val="22"/>
          <w:rFonts w:ascii="EC Square Sans Pro" w:hAnsi="EC Square Sans Pro"/>
        </w:rPr>
        <w:t xml:space="preserve"> </w:t>
      </w:r>
    </w:p>
    <w:p w14:paraId="7F1F814A" w14:textId="057A3E7B" w:rsidR="00610108" w:rsidRPr="0059792B" w:rsidRDefault="001130DA"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partnerség kipróbált eszközökre alapozza tevékenységét, de innovatív megoldásokat is fejleszt.</w:t>
      </w:r>
    </w:p>
    <w:p w14:paraId="4FEABA9A" w14:textId="39716BD0" w:rsidR="00610108" w:rsidRPr="0059792B" w:rsidRDefault="00610108" w:rsidP="00610108">
      <w:pPr>
        <w:pStyle w:val="Text1"/>
        <w:spacing w:before="120" w:after="0" w:line="276" w:lineRule="auto"/>
        <w:ind w:left="0"/>
        <w:rPr>
          <w:b/>
          <w:sz w:val="22"/>
          <w:szCs w:val="22"/>
          <w:rFonts w:ascii="EC Square Sans Pro" w:hAnsi="EC Square Sans Pro" w:cstheme="minorHAnsi"/>
        </w:rPr>
      </w:pPr>
      <w:r>
        <w:rPr>
          <w:b/>
          <w:sz w:val="22"/>
          <w:szCs w:val="22"/>
          <w:rFonts w:ascii="EC Square Sans Pro" w:hAnsi="EC Square Sans Pro"/>
        </w:rPr>
        <w:t xml:space="preserve">A készségek keresletének/kínálatának figyelemmel kísérése és a készségigények előrejelzése</w:t>
      </w:r>
    </w:p>
    <w:p w14:paraId="2CE160BB" w14:textId="77777777" w:rsidR="00610108" w:rsidRPr="0059792B" w:rsidRDefault="00610108"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(munkához kapcsolódó és transzverzális) készségek iránti keresletet és kínálatot rendszeresen figyelemmel kísérik, és a készségigényekről egyértelműen tájékoztatják az egyéneket.</w:t>
      </w:r>
      <w:r>
        <w:rPr>
          <w:sz w:val="22"/>
          <w:szCs w:val="22"/>
          <w:rFonts w:ascii="EC Square Sans Pro" w:hAnsi="EC Square Sans Pro"/>
        </w:rPr>
        <w:t xml:space="preserve"> </w:t>
      </w:r>
    </w:p>
    <w:p w14:paraId="580B7F3C" w14:textId="77777777" w:rsidR="003B6302" w:rsidRPr="0059792B" w:rsidRDefault="00610108"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készségek előrejelzése figyelembe veszi a digitális és a zöld átállás támogatásának szükségességét és a demográfiai változás következményeit.</w:t>
      </w:r>
      <w:r>
        <w:rPr>
          <w:sz w:val="22"/>
          <w:szCs w:val="22"/>
          <w:rFonts w:ascii="EC Square Sans Pro" w:hAnsi="EC Square Sans Pro"/>
        </w:rPr>
        <w:t xml:space="preserve"> </w:t>
      </w:r>
    </w:p>
    <w:p w14:paraId="5D48B295" w14:textId="702FE981" w:rsidR="00610108" w:rsidRPr="0059792B" w:rsidRDefault="003B6302"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készségek keresletének és kínálatának figyelemmel kísérése a munkaerő és a vállalatok készségigényeit regionális, országos és uniós szinten vizsgálja.</w:t>
      </w:r>
    </w:p>
    <w:p w14:paraId="12C1E9BC" w14:textId="77777777" w:rsidR="004C3338" w:rsidRPr="004C3338" w:rsidRDefault="00610108" w:rsidP="004C3338">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készségek előrejelzése magában foglalja a munkaerőpiac gyors változásait, valamint megfelelő és időszerű információt nyújt a készségigényekről.</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készségek előrejelzése figyelembe veszi a regionális, az országos és az uniós fejleményeket.</w:t>
      </w:r>
    </w:p>
    <w:p w14:paraId="6BD98093" w14:textId="791DEDA0" w:rsidR="00610108" w:rsidRPr="0059792B" w:rsidRDefault="001130DA"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figyelemmel kísérési mechanizmus nemcsak a munkával kapcsolatos, hanem a transzverzális és az alapkészségek iránti igényekre is kiterjed.</w:t>
      </w:r>
    </w:p>
    <w:p w14:paraId="4F41DDA8" w14:textId="0C320565" w:rsidR="00610108" w:rsidRPr="0059792B" w:rsidRDefault="001130DA" w:rsidP="00AB28CC">
      <w:pPr>
        <w:pStyle w:val="Text1"/>
        <w:numPr>
          <w:ilvl w:val="0"/>
          <w:numId w:val="5"/>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A tevékenység az azonosított készségigényekre épül, mind a munkához kapcsolódó, mind a humán képességek tekintetében.</w:t>
      </w:r>
    </w:p>
    <w:p w14:paraId="7254DFFF" w14:textId="33F6C60D" w:rsidR="00610108" w:rsidRPr="0059792B" w:rsidRDefault="00610108" w:rsidP="00610108">
      <w:pPr>
        <w:pStyle w:val="Text1"/>
        <w:spacing w:before="120" w:after="0" w:line="276" w:lineRule="auto"/>
        <w:ind w:left="0"/>
        <w:rPr>
          <w:b/>
          <w:sz w:val="22"/>
          <w:szCs w:val="22"/>
          <w:rFonts w:ascii="EC Square Sans Pro" w:hAnsi="EC Square Sans Pro" w:cstheme="minorHAnsi"/>
        </w:rPr>
      </w:pPr>
      <w:r>
        <w:rPr>
          <w:b/>
          <w:sz w:val="22"/>
          <w:szCs w:val="22"/>
          <w:rFonts w:ascii="EC Square Sans Pro" w:hAnsi="EC Square Sans Pro"/>
        </w:rPr>
        <w:t xml:space="preserve">A megkülönböztetés elleni küzdelem, valamint a nemek közötti egyenlőség és az esélyegyenlőség előmozdítása</w:t>
      </w:r>
    </w:p>
    <w:p w14:paraId="6D6DA112" w14:textId="087FAF3C" w:rsidR="002F22E0" w:rsidRPr="0059792B" w:rsidRDefault="001130DA" w:rsidP="002F22E0">
      <w:pPr>
        <w:pStyle w:val="Text1"/>
        <w:numPr>
          <w:ilvl w:val="0"/>
          <w:numId w:val="6"/>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tevékenység során aktívan előmozdítják az esélyegyenlőséget, tekintet nélkül a nemre, faji vagy etnikai származásra, vallásra vagy meggyőződésre, fogyatékosságra, életkorra vagy szexuális irányultságra.</w:t>
      </w:r>
    </w:p>
    <w:p w14:paraId="56139681" w14:textId="559C82C7" w:rsidR="00610108" w:rsidRPr="0059792B" w:rsidRDefault="00774040" w:rsidP="00774040">
      <w:pPr>
        <w:pStyle w:val="Text1"/>
        <w:numPr>
          <w:ilvl w:val="0"/>
          <w:numId w:val="6"/>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tevékenység magas színvonalú tovább- és átképzési lehetőségeket biztosít a célcsoport minden tagja számára, az illető nemétől, faji vagy etnikai származásától, vallásától vagy meggyőződésétől, fogyatékosságától, életkorától</w:t>
      </w:r>
      <w:r w:rsidRPr="0059792B">
        <w:rPr>
          <w:rStyle w:val="FootnoteReference"/>
          <w:rFonts w:ascii="EC Square Sans Pro" w:hAnsi="EC Square Sans Pro" w:cstheme="minorHAnsi"/>
          <w:sz w:val="22"/>
          <w:szCs w:val="22"/>
        </w:rPr>
        <w:footnoteReference w:id="3"/>
      </w:r>
      <w:r>
        <w:rPr>
          <w:sz w:val="22"/>
          <w:szCs w:val="22"/>
          <w:rFonts w:ascii="EC Square Sans Pro" w:hAnsi="EC Square Sans Pro"/>
        </w:rPr>
        <w:t xml:space="preserve"> vagy szexuális irányultságától függetlenül.</w:t>
      </w:r>
      <w:r>
        <w:rPr>
          <w:sz w:val="22"/>
          <w:szCs w:val="22"/>
          <w:rFonts w:ascii="EC Square Sans Pro" w:hAnsi="EC Square Sans Pro"/>
        </w:rPr>
        <w:t xml:space="preserve"> </w:t>
      </w:r>
    </w:p>
    <w:p w14:paraId="4881B9BD" w14:textId="7DD69CD0" w:rsidR="00610108" w:rsidRPr="0059792B" w:rsidRDefault="00774040" w:rsidP="00AB28CC">
      <w:pPr>
        <w:pStyle w:val="Text1"/>
        <w:numPr>
          <w:ilvl w:val="0"/>
          <w:numId w:val="6"/>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 megszerzett készségek hitelesítése és elismerése (ideértve a mikrotanúsítványokat is) beépül a tevékenységbe.</w:t>
      </w:r>
    </w:p>
    <w:p w14:paraId="524E032D" w14:textId="5CAB99B1" w:rsidR="00610108" w:rsidRPr="0059792B" w:rsidRDefault="00610108" w:rsidP="00AB28CC">
      <w:pPr>
        <w:pStyle w:val="Text1"/>
        <w:numPr>
          <w:ilvl w:val="0"/>
          <w:numId w:val="7"/>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Figyelembe veszik az egyének igényeit és képességeit, beleértve személyes és szakmai szükségleteiket (pl. életközépi karrierváltás).</w:t>
      </w:r>
    </w:p>
    <w:p w14:paraId="2B2F0D54" w14:textId="615E20AE" w:rsidR="00E35952" w:rsidRPr="000D72F3" w:rsidRDefault="006E34FF" w:rsidP="004D0D31">
      <w:pPr>
        <w:pStyle w:val="Text1"/>
        <w:numPr>
          <w:ilvl w:val="0"/>
          <w:numId w:val="7"/>
        </w:numPr>
        <w:spacing w:after="0" w:line="276" w:lineRule="auto"/>
        <w:ind w:right="113"/>
        <w:jc w:val="left"/>
        <w:rPr>
          <w:sz w:val="22"/>
          <w:szCs w:val="22"/>
          <w:rFonts w:ascii="EC Square Sans Pro" w:hAnsi="EC Square Sans Pro" w:cstheme="minorHAnsi"/>
        </w:rPr>
      </w:pPr>
      <w:r>
        <w:rPr>
          <w:sz w:val="22"/>
          <w:szCs w:val="22"/>
          <w:rFonts w:ascii="EC Square Sans Pro" w:hAnsi="EC Square Sans Pro"/>
        </w:rPr>
        <w:t xml:space="preserve">A tevékenység rugalmas, moduláris, és lehetőség szerint eszközökön (ideértve a digitális eszközöket is) keresztül valósul meg, biztosítva a tanuláshoz való hozzáférést az összes munkaképes korú személy számára.</w:t>
      </w:r>
      <w:r>
        <w:rPr>
          <w:sz w:val="22"/>
          <w:szCs w:val="22"/>
          <w:rFonts w:ascii="EC Square Sans Pro" w:hAnsi="EC Square Sans Pro"/>
        </w:rPr>
        <w:t xml:space="preserve">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tab/>
        <w:t xml:space="preserve">Például az Európai Szociális Alap Plusz (ESZA+), a REACT_EU, a Méltányos Átállást Támogató Alap, az Erasmus+, az Európai horizont, a Digitális Európa, az Európai Regionális Fejlesztési Alap, az InvestEU és a Modernizációs Alap.</w:t>
      </w:r>
    </w:p>
  </w:footnote>
  <w:footnote w:id="3">
    <w:p w14:paraId="0A32517E" w14:textId="16C3F6B3" w:rsidR="00774040" w:rsidRDefault="00774040">
      <w:pPr>
        <w:pStyle w:val="FootnoteText"/>
      </w:pPr>
      <w:r>
        <w:rPr>
          <w:rStyle w:val="FootnoteReference"/>
        </w:rPr>
        <w:footnoteRef/>
      </w:r>
      <w:r>
        <w:t xml:space="preserve"> </w:t>
        <w:tab/>
        <w:t xml:space="preserve">Hacsak a tevékenység jellege ezt nem indokolja, pl. az idősebb munkavállalókat vagy a fiatalabb új alkalmazottakat célzó tovább- és átképzési kezdeményezések esetében.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20"/>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hu-H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val="hu-HU" w:eastAsia="ja-JP"/>
    </w:rPr>
  </w:style>
  <w:style w:type="character" w:customStyle="1" w:styleId="QuoteChar">
    <w:name w:val="Quote Char"/>
    <w:basedOn w:val="DefaultParagraphFont"/>
    <w:link w:val="Quote"/>
    <w:uiPriority w:val="99"/>
    <w:rsid w:val="001F7F7B"/>
    <w:rPr>
      <w:i/>
      <w:iCs/>
      <w:color w:val="000000"/>
      <w:lang w:val="hu-HU" w:eastAsia="ja-JP"/>
    </w:rPr>
  </w:style>
  <w:style w:type="paragraph" w:styleId="TOCHeading">
    <w:name w:val="TOC Heading"/>
    <w:basedOn w:val="Heading1"/>
    <w:next w:val="Normal"/>
    <w:uiPriority w:val="99"/>
    <w:qFormat/>
    <w:rsid w:val="001F7F7B"/>
    <w:pPr>
      <w:outlineLvl w:val="9"/>
    </w:pPr>
    <w:rPr>
      <w:lang w:val="hu-HU"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3360AB-07C4-41AD-B33C-A9ED01B34221}">
  <ds:schemaRefs>
    <ds:schemaRef ds:uri="http://schemas.openxmlformats.org/officeDocument/2006/bibliography"/>
  </ds:schemaRefs>
</ds:datastoreItem>
</file>

<file path=customXml/itemProps2.xml><?xml version="1.0" encoding="utf-8"?>
<ds:datastoreItem xmlns:ds="http://schemas.openxmlformats.org/officeDocument/2006/customXml" ds:itemID="{3A5DA9A3-32EB-48D1-925A-24602494C3BE}"/>
</file>

<file path=customXml/itemProps3.xml><?xml version="1.0" encoding="utf-8"?>
<ds:datastoreItem xmlns:ds="http://schemas.openxmlformats.org/officeDocument/2006/customXml" ds:itemID="{0D7C0CF9-2A47-4174-9F1A-CB41B599F151}"/>
</file>

<file path=customXml/itemProps4.xml><?xml version="1.0" encoding="utf-8"?>
<ds:datastoreItem xmlns:ds="http://schemas.openxmlformats.org/officeDocument/2006/customXml" ds:itemID="{17A825A1-5570-427A-8512-CC063E633110}"/>
</file>

<file path=docProps/app.xml><?xml version="1.0" encoding="utf-8"?>
<Properties xmlns="http://schemas.openxmlformats.org/officeDocument/2006/extended-properties" xmlns:vt="http://schemas.openxmlformats.org/officeDocument/2006/docPropsVTypes">
  <Template>Normal</Template>
  <TotalTime>0</TotalTime>
  <Pages>5</Pages>
  <Words>1470</Words>
  <Characters>8659</Characters>
  <Application>Microsoft Office Word</Application>
  <DocSecurity>4</DocSecurity>
  <Lines>154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2020-11-23T14:52:00Z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